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tabs>
          <w:tab w:val="right" w:pos="9639"/>
        </w:tabs>
        <w:spacing w:after="0"/>
        <w:outlineLvl w:val="0"/>
        <w:rPr>
          <w:rFonts w:hint="default" w:eastAsia="宋体"/>
          <w:b/>
          <w:sz w:val="24"/>
          <w:lang w:val="en-US" w:eastAsia="zh-CN"/>
        </w:rPr>
      </w:pPr>
      <w:bookmarkStart w:id="0" w:name="_Hlt449016246"/>
      <w:bookmarkEnd w:id="0"/>
      <w:bookmarkStart w:id="1" w:name="_Hlt450051172"/>
      <w:bookmarkEnd w:id="1"/>
      <w:bookmarkStart w:id="2" w:name="_Hlt450039480"/>
      <w:bookmarkEnd w:id="2"/>
      <w:bookmarkStart w:id="3" w:name="_Hlt448930105"/>
      <w:bookmarkEnd w:id="3"/>
      <w:bookmarkStart w:id="4" w:name="_Hlt450066085"/>
      <w:bookmarkEnd w:id="4"/>
      <w:bookmarkStart w:id="5" w:name="_Hlt450066087"/>
      <w:bookmarkEnd w:id="5"/>
      <w:bookmarkStart w:id="6" w:name="OLE_LINK111"/>
      <w:bookmarkStart w:id="7" w:name="OLE_LINK49"/>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rPr>
          <w:rFonts w:hint="eastAsia"/>
          <w:b/>
          <w:sz w:val="24"/>
        </w:rPr>
        <w:t>R4-2</w:t>
      </w:r>
      <w:r>
        <w:rPr>
          <w:rFonts w:hint="eastAsia" w:eastAsia="宋体"/>
          <w:b/>
          <w:sz w:val="24"/>
          <w:lang w:val="en-US" w:eastAsia="zh-CN"/>
        </w:rPr>
        <w:t>408797</w:t>
      </w:r>
    </w:p>
    <w:p>
      <w:pPr>
        <w:pStyle w:val="55"/>
        <w:outlineLvl w:val="0"/>
        <w:rPr>
          <w:b/>
          <w:sz w:val="24"/>
        </w:rPr>
      </w:pPr>
      <w:r>
        <w:rPr>
          <w:rFonts w:hint="eastAsia" w:eastAsia="宋体" w:cs="Arial"/>
          <w:b/>
          <w:sz w:val="24"/>
          <w:szCs w:val="24"/>
          <w:lang w:val="en-US" w:eastAsia="zh-CN"/>
        </w:rPr>
        <w:t>Fukuoka,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Japan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20</w:t>
      </w:r>
      <w:r>
        <w:rPr>
          <w:rFonts w:hint="eastAsia" w:ascii="Arial" w:hAnsi="Arial" w:eastAsia="宋体" w:cs="Arial"/>
          <w:b/>
          <w:sz w:val="24"/>
          <w:szCs w:val="24"/>
          <w:lang w:eastAsia="zh-CN"/>
        </w:rPr>
        <w:t>th–</w:t>
      </w:r>
      <w:r>
        <w:rPr>
          <w:rFonts w:hint="eastAsia" w:eastAsia="宋体" w:cs="Arial"/>
          <w:b/>
          <w:sz w:val="24"/>
          <w:szCs w:val="24"/>
          <w:lang w:val="en-US" w:eastAsia="zh-CN"/>
        </w:rPr>
        <w:t>24</w:t>
      </w:r>
      <w:r>
        <w:rPr>
          <w:rFonts w:hint="eastAsia" w:cs="Arial"/>
          <w:b/>
          <w:sz w:val="24"/>
          <w:szCs w:val="24"/>
          <w:lang w:val="en-US" w:eastAsia="zh-CN"/>
        </w:rPr>
        <w:t>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bookmarkEnd w:id="6"/>
    <w:bookmarkEnd w:id="7"/>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outlineLvl w:val="0"/>
        <w:rPr>
          <w:rFonts w:eastAsia="宋体"/>
          <w:sz w:val="24"/>
          <w:lang w:val="en-US" w:eastAsia="zh-CN"/>
        </w:rPr>
      </w:pPr>
      <w:r>
        <w:rPr>
          <w:sz w:val="24"/>
        </w:rPr>
        <w:t>Source:</w:t>
      </w:r>
      <w:r>
        <w:rPr>
          <w:sz w:val="24"/>
        </w:rPr>
        <w:tab/>
      </w:r>
      <w:r>
        <w:rPr>
          <w:rFonts w:eastAsia="宋体"/>
          <w:sz w:val="24"/>
          <w:lang w:val="en-US" w:eastAsia="zh-CN"/>
        </w:rPr>
        <w:t>ZTE Corporation</w:t>
      </w:r>
      <w:r>
        <w:rPr>
          <w:rStyle w:val="58"/>
          <w:rFonts w:hint="eastAsia"/>
          <w:b/>
          <w:highlight w:val="none"/>
          <w:lang w:val="en-US" w:eastAsia="zh-CN"/>
        </w:rPr>
        <w:t>, Sanechips</w:t>
      </w:r>
      <w:bookmarkStart w:id="8" w:name="_GoBack"/>
      <w:bookmarkEnd w:id="8"/>
    </w:p>
    <w:p>
      <w:pPr>
        <w:pStyle w:val="15"/>
        <w:tabs>
          <w:tab w:val="left" w:pos="1800"/>
          <w:tab w:val="right" w:pos="9298"/>
          <w:tab w:val="clear" w:pos="4536"/>
          <w:tab w:val="clear" w:pos="9072"/>
        </w:tabs>
        <w:spacing w:after="60"/>
        <w:ind w:left="1807" w:hanging="1801" w:hangingChars="750"/>
        <w:outlineLvl w:val="0"/>
        <w:rPr>
          <w:rFonts w:hint="default" w:eastAsia="宋体"/>
          <w:sz w:val="24"/>
          <w:lang w:val="en-US" w:eastAsia="zh-CN"/>
        </w:rPr>
      </w:pPr>
      <w:r>
        <w:rPr>
          <w:sz w:val="24"/>
        </w:rPr>
        <w:t>Title:</w:t>
      </w:r>
      <w:r>
        <w:rPr>
          <w:sz w:val="24"/>
        </w:rPr>
        <w:tab/>
      </w:r>
      <w:r>
        <w:rPr>
          <w:rFonts w:hint="eastAsia" w:eastAsia="宋体"/>
          <w:sz w:val="24"/>
          <w:lang w:val="en-US" w:eastAsia="zh-CN"/>
        </w:rPr>
        <w:t>Discussion on UE RF requirements for inter-band NR CA/DC with 3MHz CBW</w:t>
      </w:r>
    </w:p>
    <w:p>
      <w:pPr>
        <w:pStyle w:val="15"/>
        <w:tabs>
          <w:tab w:val="left" w:pos="1800"/>
          <w:tab w:val="left" w:pos="3825"/>
          <w:tab w:val="clear" w:pos="4536"/>
          <w:tab w:val="clear" w:pos="9072"/>
        </w:tabs>
        <w:spacing w:after="60"/>
        <w:jc w:val="both"/>
        <w:outlineLvl w:val="0"/>
        <w:rPr>
          <w:rFonts w:hint="default" w:eastAsia="宋体"/>
          <w:sz w:val="24"/>
          <w:lang w:val="en-US" w:eastAsia="zh-CN"/>
        </w:rPr>
      </w:pPr>
      <w:r>
        <w:rPr>
          <w:sz w:val="24"/>
        </w:rPr>
        <w:t>Agenda Item:</w:t>
      </w:r>
      <w:r>
        <w:rPr>
          <w:sz w:val="24"/>
        </w:rPr>
        <w:tab/>
      </w:r>
      <w:r>
        <w:rPr>
          <w:rFonts w:hint="eastAsia" w:eastAsia="宋体"/>
          <w:sz w:val="24"/>
          <w:lang w:val="en-US" w:eastAsia="zh-CN"/>
        </w:rPr>
        <w:t>10.10.2</w:t>
      </w:r>
    </w:p>
    <w:p>
      <w:pPr>
        <w:pStyle w:val="15"/>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lang w:val="en-US" w:eastAsia="zh-CN"/>
        </w:rPr>
      </w:pPr>
      <w:r>
        <w:rPr>
          <w:rFonts w:eastAsia="宋体"/>
          <w:lang w:eastAsia="zh-CN"/>
        </w:rPr>
        <w:t>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both"/>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103</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NR channel BW less than 5MHz for FR1 Phase 2</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on UE RF requirements for inter-band NR CA/DC with 3MHz CBW.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pacing w:before="60" w:after="60"/>
              <w:jc w:val="both"/>
              <w:textAlignment w:val="auto"/>
              <w:rPr>
                <w:color w:val="000000"/>
                <w:lang w:val="en-US" w:eastAsia="zh-CN"/>
              </w:rPr>
            </w:pPr>
            <w:r>
              <w:rPr>
                <w:color w:val="000000"/>
                <w:lang w:val="en-US" w:eastAsia="zh-CN"/>
              </w:rPr>
              <w:t>Define common co-located and non-co-located inter-band NR CA/DC UE RF requirements with 3MHz CBW in the one band and 5MHz or 10MHz CBW in the other band</w:t>
            </w:r>
          </w:p>
          <w:p>
            <w:pPr>
              <w:numPr>
                <w:ilvl w:val="1"/>
                <w:numId w:val="4"/>
              </w:numPr>
              <w:overflowPunct/>
              <w:autoSpaceDE/>
              <w:autoSpaceDN/>
              <w:adjustRightInd/>
              <w:spacing w:before="60" w:after="60"/>
              <w:jc w:val="both"/>
              <w:textAlignment w:val="auto"/>
              <w:rPr>
                <w:color w:val="000000"/>
                <w:lang w:val="en-US" w:eastAsia="zh-CN"/>
              </w:rPr>
            </w:pPr>
            <w:r>
              <w:rPr>
                <w:color w:val="000000"/>
                <w:lang w:val="en-US" w:eastAsia="zh-CN"/>
              </w:rPr>
              <w:t>Example band combination: CA/DC of 3MHz in band n100 and 5MHz or 10MHz in band n101</w:t>
            </w:r>
          </w:p>
          <w:p>
            <w:pPr>
              <w:numPr>
                <w:ilvl w:val="0"/>
                <w:numId w:val="4"/>
              </w:numPr>
              <w:overflowPunct/>
              <w:autoSpaceDE/>
              <w:autoSpaceDN/>
              <w:adjustRightInd/>
              <w:spacing w:before="60" w:after="60"/>
              <w:jc w:val="both"/>
              <w:textAlignment w:val="auto"/>
              <w:rPr>
                <w:color w:val="000000"/>
                <w:lang w:val="en-US" w:eastAsia="zh-CN"/>
              </w:rPr>
            </w:pPr>
            <w:r>
              <w:rPr>
                <w:color w:val="000000"/>
                <w:lang w:val="en-US" w:eastAsia="zh-CN"/>
              </w:rPr>
              <w:t>Define RRM requirements for inter-band CA and DC for combinations introduced in RF part</w:t>
            </w:r>
          </w:p>
          <w:p>
            <w:pPr>
              <w:jc w:val="both"/>
              <w:rPr>
                <w:rFonts w:hint="eastAsia"/>
                <w:bCs/>
                <w:kern w:val="0"/>
                <w:sz w:val="20"/>
                <w:szCs w:val="20"/>
                <w:highlight w:val="none"/>
                <w:vertAlign w:val="baseline"/>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tc>
      </w:tr>
    </w:tbl>
    <w:p>
      <w:pPr>
        <w:rPr>
          <w:lang w:val="en-US" w:eastAsia="zh-CN"/>
        </w:rPr>
      </w:pP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lang w:val="en-US" w:eastAsia="zh-CN"/>
        </w:rPr>
      </w:pPr>
      <w:r>
        <w:rPr>
          <w:rFonts w:hint="eastAsia" w:eastAsia="宋体"/>
          <w:lang w:eastAsia="zh-CN"/>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2.1 Power class for UL inter-band CA</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576" w:hanging="576"/>
              <w:rPr>
                <w:rFonts w:ascii="Times New Roman" w:hAnsi="Times New Roman"/>
                <w:b/>
                <w:bCs/>
                <w:sz w:val="20"/>
                <w:szCs w:val="20"/>
                <w:u w:val="single"/>
              </w:rPr>
            </w:pPr>
            <w:r>
              <w:rPr>
                <w:rFonts w:ascii="Times New Roman" w:hAnsi="Times New Roman"/>
                <w:b/>
                <w:bCs/>
                <w:sz w:val="20"/>
                <w:szCs w:val="20"/>
                <w:u w:val="single"/>
              </w:rPr>
              <w:t>Issue 2-4: Power class for UL inter-band CA</w:t>
            </w:r>
          </w:p>
          <w:p>
            <w:pPr>
              <w:pStyle w:val="29"/>
              <w:spacing w:after="120" w:afterLines="50"/>
              <w:ind w:left="420" w:hanging="420" w:firstLineChars="0"/>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Agreement (Wed online discussion):</w:t>
            </w:r>
          </w:p>
          <w:p>
            <w:pPr>
              <w:pStyle w:val="29"/>
              <w:numPr>
                <w:ilvl w:val="0"/>
                <w:numId w:val="5"/>
              </w:numPr>
              <w:overflowPunct/>
              <w:autoSpaceDE/>
              <w:autoSpaceDN/>
              <w:adjustRightInd/>
              <w:spacing w:after="120"/>
              <w:ind w:firstLineChars="0"/>
              <w:textAlignment w:val="auto"/>
              <w:rPr>
                <w:rFonts w:hint="default" w:ascii="Times New Roman" w:hAnsi="Times New Roman" w:eastAsia="宋体" w:cs="Times New Roman"/>
                <w:szCs w:val="24"/>
                <w:highlight w:val="none"/>
                <w:lang w:eastAsia="zh-CN"/>
              </w:rPr>
            </w:pPr>
            <w:r>
              <w:rPr>
                <w:rFonts w:hint="default" w:ascii="Times New Roman" w:hAnsi="Times New Roman" w:eastAsia="宋体" w:cs="Times New Roman"/>
                <w:szCs w:val="24"/>
                <w:highlight w:val="none"/>
                <w:lang w:eastAsia="zh-CN"/>
              </w:rPr>
              <w:t>Define PC3 inter-band CA/DC combinations</w:t>
            </w:r>
          </w:p>
          <w:p>
            <w:pPr>
              <w:pStyle w:val="29"/>
              <w:numPr>
                <w:ilvl w:val="0"/>
                <w:numId w:val="5"/>
              </w:numPr>
              <w:overflowPunct/>
              <w:autoSpaceDE/>
              <w:autoSpaceDN/>
              <w:adjustRightInd/>
              <w:spacing w:after="120"/>
              <w:ind w:firstLineChars="0"/>
              <w:textAlignment w:val="auto"/>
              <w:rPr>
                <w:rFonts w:hint="eastAsia"/>
                <w:sz w:val="20"/>
                <w:vertAlign w:val="baseline"/>
                <w:lang w:val="en-US" w:eastAsia="zh-CN"/>
              </w:rPr>
            </w:pPr>
            <w:r>
              <w:rPr>
                <w:rFonts w:hint="default" w:ascii="Times New Roman" w:hAnsi="Times New Roman" w:eastAsia="宋体" w:cs="Times New Roman"/>
                <w:szCs w:val="24"/>
                <w:highlight w:val="none"/>
                <w:lang w:eastAsia="zh-CN"/>
              </w:rPr>
              <w:t>FFS on whether to define PC1 inter-band CA/DC combinations</w:t>
            </w:r>
          </w:p>
        </w:tc>
      </w:tr>
    </w:tbl>
    <w:p>
      <w:pPr>
        <w:autoSpaceDE/>
        <w:autoSpaceDN/>
        <w:adjustRightInd/>
        <w:snapToGrid/>
        <w:spacing w:before="0" w:beforeLines="-2147483648" w:after="0" w:afterLines="-2147483648" w:line="240" w:lineRule="auto"/>
        <w:jc w:val="both"/>
        <w:rPr>
          <w:rFonts w:hint="eastAsia"/>
          <w:sz w:val="20"/>
          <w:lang w:val="en-US" w:eastAsia="zh-CN"/>
        </w:rPr>
      </w:pPr>
      <w:r>
        <w:rPr>
          <w:rFonts w:hint="eastAsia"/>
          <w:sz w:val="20"/>
          <w:lang w:val="en-US" w:eastAsia="zh-CN"/>
        </w:rPr>
        <w:t xml:space="preserve">The above is way forward in last meeting [2]. We agreed to define PC3 inter-band CA/DC combinations. The following is UE power classes supported by NR band n100 and n101, it has been defined PC1 and PC3 for these two bands. Theoretically, it is possible to support PC1 inter-band CA/DC combinations. The UE PC1 requirements for band n100 and n101 single carrier are targeted for public safety scenario. Whether there is a request to support PC1 inter-band CA/DC combinations needs input from operators. </w:t>
      </w:r>
    </w:p>
    <w:p>
      <w:pPr>
        <w:rPr>
          <w:rFonts w:hint="eastAsia"/>
          <w:b/>
          <w:bCs/>
          <w:i/>
          <w:iCs/>
          <w:sz w:val="20"/>
          <w:szCs w:val="20"/>
          <w:lang w:val="en-US" w:eastAsia="zh-CN"/>
        </w:rPr>
      </w:pPr>
      <w:r>
        <w:rPr>
          <w:rFonts w:hint="eastAsia"/>
          <w:b/>
          <w:bCs/>
          <w:i/>
          <w:iCs/>
          <w:sz w:val="20"/>
          <w:szCs w:val="20"/>
          <w:lang w:val="en-US" w:eastAsia="zh-CN"/>
        </w:rPr>
        <w:t>Proposal 1: Whether to support PC1 inter-band CA/DC combinations needs input from operators.</w:t>
      </w:r>
    </w:p>
    <w:p>
      <w:pPr>
        <w:autoSpaceDE/>
        <w:autoSpaceDN/>
        <w:adjustRightInd/>
        <w:snapToGrid/>
        <w:spacing w:before="0" w:beforeLines="-2147483648" w:after="0" w:afterLines="-2147483648" w:line="240" w:lineRule="auto"/>
        <w:jc w:val="both"/>
        <w:rPr>
          <w:rFonts w:hint="default"/>
          <w:sz w:val="20"/>
          <w:lang w:val="en-US" w:eastAsia="zh-CN"/>
        </w:rPr>
      </w:pPr>
    </w:p>
    <w:p>
      <w:pPr>
        <w:pStyle w:val="37"/>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2.1</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UE Power Class</w:t>
      </w:r>
    </w:p>
    <w:tbl>
      <w:tblPr>
        <w:tblStyle w:val="17"/>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4"/>
            </w:pPr>
            <w:r>
              <w:t>NR</w:t>
            </w:r>
          </w:p>
          <w:p>
            <w:pPr>
              <w:pStyle w:val="34"/>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4"/>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rPr>
                <w:lang w:val="fi-FI" w:eastAsia="fi-FI"/>
              </w:rPr>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pStyle w:val="35"/>
            </w:pPr>
            <w:r>
              <w:t>±2</w:t>
            </w:r>
          </w:p>
        </w:tc>
      </w:tr>
    </w:tbl>
    <w:p>
      <w:pPr>
        <w:rPr>
          <w:rFonts w:hint="eastAsia"/>
          <w:b/>
          <w:bCs/>
          <w:i/>
          <w:iCs/>
          <w:sz w:val="20"/>
          <w:szCs w:val="20"/>
          <w:lang w:val="en-US" w:eastAsia="zh-CN"/>
        </w:rPr>
      </w:pP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Signalling aspects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pStyle w:val="3"/>
              <w:numPr>
                <w:ilvl w:val="0"/>
                <w:numId w:val="0"/>
              </w:numPr>
              <w:ind w:left="576" w:hanging="576"/>
              <w:rPr>
                <w:rFonts w:ascii="Times New Roman" w:hAnsi="Times New Roman"/>
                <w:b/>
                <w:bCs/>
                <w:sz w:val="20"/>
                <w:szCs w:val="20"/>
                <w:u w:val="single"/>
              </w:rPr>
            </w:pPr>
            <w:r>
              <w:rPr>
                <w:rFonts w:ascii="Times New Roman" w:hAnsi="Times New Roman"/>
                <w:b/>
                <w:bCs/>
                <w:sz w:val="20"/>
                <w:szCs w:val="20"/>
                <w:u w:val="single"/>
              </w:rPr>
              <w:t>Issue 2-6: Signalling aspects</w:t>
            </w:r>
          </w:p>
          <w:p>
            <w:pPr>
              <w:spacing w:after="120"/>
              <w:rPr>
                <w:rFonts w:hint="default" w:ascii="Times New Roman" w:hAnsi="Times New Roman" w:cs="Times New Roman"/>
                <w:szCs w:val="24"/>
                <w:highlight w:val="none"/>
                <w:lang w:eastAsia="zh-CN"/>
              </w:rPr>
            </w:pPr>
            <w:r>
              <w:rPr>
                <w:rFonts w:hint="default" w:ascii="Times New Roman" w:hAnsi="Times New Roman" w:cs="Times New Roman"/>
                <w:szCs w:val="24"/>
                <w:highlight w:val="none"/>
                <w:lang w:eastAsia="zh-CN"/>
              </w:rPr>
              <w:t>Agreement</w:t>
            </w:r>
          </w:p>
          <w:p>
            <w:pPr>
              <w:pStyle w:val="29"/>
              <w:numPr>
                <w:ilvl w:val="0"/>
                <w:numId w:val="5"/>
              </w:numPr>
              <w:overflowPunct/>
              <w:autoSpaceDE/>
              <w:autoSpaceDN/>
              <w:adjustRightInd/>
              <w:spacing w:after="120"/>
              <w:ind w:firstLineChars="0"/>
              <w:textAlignment w:val="auto"/>
              <w:rPr>
                <w:rFonts w:hint="eastAsia"/>
                <w:sz w:val="20"/>
                <w:vertAlign w:val="baseline"/>
                <w:lang w:val="en-US" w:eastAsia="zh-CN"/>
              </w:rPr>
            </w:pPr>
            <w:r>
              <w:rPr>
                <w:rFonts w:hint="default" w:ascii="Times New Roman" w:hAnsi="Times New Roman" w:cs="Times New Roman"/>
                <w:bCs/>
                <w:highlight w:val="none"/>
                <w:lang w:eastAsia="ko-KR"/>
              </w:rPr>
              <w:t xml:space="preserve">FFS whether to introduce new UE capability and/or other RRC signalling to support </w:t>
            </w:r>
            <w:r>
              <w:rPr>
                <w:rFonts w:hint="default" w:ascii="Times New Roman" w:hAnsi="Times New Roman" w:cs="Times New Roman"/>
                <w:highlight w:val="none"/>
                <w:lang w:eastAsia="zh-CN"/>
              </w:rPr>
              <w:t xml:space="preserve">NR CA/DC with less than 5MHz CBW and support of 12 or 20 RB </w:t>
            </w:r>
            <w:r>
              <w:rPr>
                <w:rFonts w:hint="default" w:ascii="Times New Roman" w:hAnsi="Times New Roman" w:cs="Times New Roman"/>
                <w:highlight w:val="none"/>
              </w:rPr>
              <w:t>transmission bandwidth</w:t>
            </w:r>
          </w:p>
        </w:tc>
      </w:tr>
    </w:tbl>
    <w:p>
      <w:pPr>
        <w:autoSpaceDE/>
        <w:autoSpaceDN/>
        <w:adjustRightInd/>
        <w:snapToGrid/>
        <w:spacing w:before="0" w:beforeLines="-2147483648" w:after="0" w:afterLines="-2147483648" w:line="240" w:lineRule="auto"/>
        <w:jc w:val="both"/>
        <w:rPr>
          <w:rFonts w:hint="eastAsia"/>
          <w:sz w:val="20"/>
          <w:lang w:val="en-US" w:eastAsia="zh-CN"/>
        </w:rPr>
      </w:pPr>
    </w:p>
    <w:p>
      <w:pPr>
        <w:autoSpaceDE/>
        <w:autoSpaceDN/>
        <w:adjustRightInd/>
        <w:snapToGrid/>
        <w:spacing w:before="0" w:beforeLines="-2147483648" w:after="0" w:afterLines="-2147483648" w:line="240" w:lineRule="auto"/>
        <w:jc w:val="both"/>
        <w:rPr>
          <w:rFonts w:hint="default" w:eastAsia="宋体" w:cs="Times New Roman"/>
          <w:highlight w:val="none"/>
          <w:lang w:val="en-US" w:eastAsia="zh-CN"/>
        </w:rPr>
      </w:pPr>
      <w:r>
        <w:rPr>
          <w:rFonts w:hint="eastAsia"/>
          <w:sz w:val="20"/>
          <w:lang w:val="en-US" w:eastAsia="zh-CN"/>
        </w:rPr>
        <w:t>Firstly, when introducing 5G NR for FRMCS in band n100 of 2x5.6MHz FDD, it was specified that FRMCS and GSM-R will have to be in operation in parallel. In order to maintain the network quality level of GSM-R  while reducing the available bandwidth or number of GSM-R channels, only limited transmission bandwidth can be converted from GSM-R to FRMCS, and 12 RB transmission bandwidth for FRMCS would be possible. Hence, if we define a new CA/DC band combination of</w:t>
      </w:r>
      <w:r>
        <w:rPr>
          <w:color w:val="000000"/>
          <w:lang w:val="en-US" w:eastAsia="zh-CN"/>
        </w:rPr>
        <w:t xml:space="preserve"> 3MHz in band n100 and 5MHz or 10MHz in band n101</w:t>
      </w:r>
      <w:r>
        <w:rPr>
          <w:rFonts w:hint="eastAsia"/>
          <w:color w:val="000000"/>
          <w:lang w:val="en-US" w:eastAsia="zh-CN"/>
        </w:rPr>
        <w:t xml:space="preserve">, 12 </w:t>
      </w:r>
      <w:r>
        <w:rPr>
          <w:rFonts w:hint="default" w:ascii="Times New Roman" w:hAnsi="Times New Roman" w:cs="Times New Roman"/>
          <w:highlight w:val="none"/>
          <w:lang w:eastAsia="zh-CN"/>
        </w:rPr>
        <w:t xml:space="preserve">RB </w:t>
      </w:r>
      <w:r>
        <w:rPr>
          <w:rFonts w:hint="default" w:ascii="Times New Roman" w:hAnsi="Times New Roman" w:cs="Times New Roman"/>
          <w:highlight w:val="none"/>
        </w:rPr>
        <w:t>transmission bandwidth</w:t>
      </w:r>
      <w:r>
        <w:rPr>
          <w:rFonts w:hint="eastAsia" w:eastAsia="宋体" w:cs="Times New Roman"/>
          <w:highlight w:val="none"/>
          <w:lang w:val="en-US" w:eastAsia="zh-CN"/>
        </w:rPr>
        <w:t xml:space="preserve"> should be considered. Given that 5MHz bandwidth for n100 isn</w:t>
      </w:r>
      <w:r>
        <w:rPr>
          <w:rFonts w:hint="default" w:eastAsia="宋体" w:cs="Times New Roman"/>
          <w:highlight w:val="none"/>
          <w:lang w:val="en-US" w:eastAsia="zh-CN"/>
        </w:rPr>
        <w:t>’</w:t>
      </w:r>
      <w:r>
        <w:rPr>
          <w:rFonts w:hint="eastAsia" w:eastAsia="宋体" w:cs="Times New Roman"/>
          <w:highlight w:val="none"/>
          <w:lang w:val="en-US" w:eastAsia="zh-CN"/>
        </w:rPr>
        <w:t>t included in the band combination, 20 RB transmission bandwidth will be considered after RAN plenary agrees to add it in the WID.</w:t>
      </w:r>
    </w:p>
    <w:p>
      <w:pPr>
        <w:autoSpaceDE/>
        <w:autoSpaceDN/>
        <w:adjustRightInd/>
        <w:snapToGrid/>
        <w:spacing w:before="0" w:beforeLines="-2147483648" w:after="0" w:afterLines="-2147483648" w:line="240" w:lineRule="auto"/>
        <w:jc w:val="both"/>
        <w:rPr>
          <w:rFonts w:hint="default"/>
          <w:sz w:val="20"/>
          <w:lang w:val="en-US" w:eastAsia="zh-CN"/>
        </w:rPr>
      </w:pPr>
      <w:r>
        <w:rPr>
          <w:rFonts w:hint="eastAsia"/>
          <w:sz w:val="20"/>
          <w:lang w:val="en-US" w:eastAsia="zh-CN"/>
        </w:rPr>
        <w:t>Subsequently, in Rel-18, only additional sync raster was defined for single carrier of 12 RB transmission bandwidth. Moreover, it was established that the requirements for 12 RBs transmission bandwidth are identical to those for 15 RBs transmission bandwidth. In other words, RF requirements are agnostic of transmission bandwidth configurations for single carrier with 3MHz CBW. And in last meeting, we also achieved an agreement that define RF requirements agnostic of transmission bandwidth configurations for 3MHz CBW for the new new CA/DC band combination. From RF perspective, there is no necessity to introduce new UE capability and/or other RRC signalling to support NR CA/DC with less than 5MHz CBW and support of 12 or 20 RB transmission bandwidth. However, we have no idea whether RRM requirements will have difference for 12 and 15 RB transmission bandwidth. Whether to introduce new UE capability and/or other RRC signalling to support NR CA/DC with less than 5MHz CBW and support of 12 or 20 RB transmission bandwidth needs to wait for RRM requirements for CA.</w:t>
      </w:r>
    </w:p>
    <w:p>
      <w:pPr>
        <w:jc w:val="both"/>
        <w:rPr>
          <w:rFonts w:hint="eastAsia"/>
          <w:b/>
          <w:bCs/>
          <w:i/>
          <w:iCs/>
          <w:sz w:val="20"/>
          <w:szCs w:val="20"/>
          <w:lang w:val="en-US" w:eastAsia="zh-CN"/>
        </w:rPr>
      </w:pPr>
      <w:r>
        <w:rPr>
          <w:rFonts w:hint="eastAsia"/>
          <w:b/>
          <w:bCs/>
          <w:i/>
          <w:iCs/>
          <w:sz w:val="20"/>
          <w:szCs w:val="20"/>
          <w:lang w:val="en-US" w:eastAsia="zh-CN"/>
        </w:rPr>
        <w:t>Proposal 2: Whether to introduce new UE capability and/or other RRC signalling to support NR CA/DC with less than 5MHz CBW and support of 12 or 20 RB transmission bandwidth needs to wait for RRM requirements for CA.</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jc w:val="both"/>
        <w:textAlignment w:val="auto"/>
        <w:rPr>
          <w:rFonts w:hint="default"/>
          <w:lang w:val="en-US" w:eastAsia="zh-CN"/>
        </w:rPr>
      </w:pPr>
      <w:r>
        <w:rPr>
          <w:rFonts w:hint="eastAsia"/>
          <w:lang w:val="en-US" w:eastAsia="zh-CN"/>
        </w:rPr>
        <w:t>2.3 Reference sensitivity: MSD requirements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numPr>
                <w:ilvl w:val="0"/>
                <w:numId w:val="0"/>
              </w:numPr>
              <w:ind w:left="576" w:hanging="576"/>
              <w:rPr>
                <w:rFonts w:ascii="Times New Roman" w:hAnsi="Times New Roman"/>
                <w:b/>
                <w:bCs/>
                <w:sz w:val="20"/>
                <w:szCs w:val="20"/>
                <w:u w:val="single"/>
              </w:rPr>
            </w:pPr>
            <w:r>
              <w:rPr>
                <w:rFonts w:ascii="Times New Roman" w:hAnsi="Times New Roman"/>
                <w:b/>
                <w:bCs/>
                <w:sz w:val="20"/>
                <w:szCs w:val="20"/>
                <w:u w:val="single"/>
              </w:rPr>
              <w:t>Issue 2-12: Reference sensitivity: MSD requirements</w:t>
            </w:r>
          </w:p>
          <w:p>
            <w:pPr>
              <w:spacing w:after="120"/>
              <w:rPr>
                <w:rFonts w:hint="default" w:ascii="Times New Roman" w:hAnsi="Times New Roman" w:cs="Times New Roman"/>
                <w:szCs w:val="24"/>
                <w:highlight w:val="none"/>
                <w:lang w:eastAsia="zh-CN"/>
              </w:rPr>
            </w:pPr>
            <w:r>
              <w:rPr>
                <w:rFonts w:hint="default" w:ascii="Times New Roman" w:hAnsi="Times New Roman" w:cs="Times New Roman"/>
                <w:szCs w:val="24"/>
                <w:highlight w:val="none"/>
                <w:lang w:eastAsia="zh-CN"/>
              </w:rPr>
              <w:t>Agreement</w:t>
            </w:r>
          </w:p>
          <w:p>
            <w:pPr>
              <w:pStyle w:val="29"/>
              <w:numPr>
                <w:ilvl w:val="0"/>
                <w:numId w:val="5"/>
              </w:numPr>
              <w:overflowPunct/>
              <w:autoSpaceDE/>
              <w:autoSpaceDN/>
              <w:adjustRightInd/>
              <w:spacing w:after="120"/>
              <w:ind w:firstLineChars="0"/>
              <w:textAlignment w:val="auto"/>
              <w:rPr>
                <w:rFonts w:hint="eastAsia" w:ascii="Times New Roman" w:hAnsi="Times New Roman" w:eastAsia="Times New Roman" w:cs="Times New Roman"/>
                <w:b/>
                <w:bCs/>
                <w:sz w:val="20"/>
                <w:vertAlign w:val="baseline"/>
                <w:lang w:val="en-US" w:eastAsia="zh-CN"/>
              </w:rPr>
            </w:pPr>
            <w:r>
              <w:rPr>
                <w:rFonts w:hint="default" w:ascii="Times New Roman" w:hAnsi="Times New Roman" w:eastAsia="宋体" w:cs="Times New Roman"/>
                <w:szCs w:val="24"/>
                <w:highlight w:val="none"/>
                <w:lang w:eastAsia="zh-CN"/>
              </w:rPr>
              <w:t>FFS on MSD requirements</w:t>
            </w:r>
          </w:p>
        </w:tc>
      </w:tr>
    </w:tbl>
    <w:p>
      <w:pPr>
        <w:jc w:val="both"/>
        <w:rPr>
          <w:rFonts w:hint="default"/>
          <w:lang w:val="en-US" w:eastAsia="zh-CN"/>
        </w:rPr>
      </w:pPr>
      <w:r>
        <w:rPr>
          <w:rFonts w:hint="eastAsia"/>
          <w:lang w:val="en-US" w:eastAsia="zh-CN"/>
        </w:rPr>
        <w:t xml:space="preserve">For inter-band </w:t>
      </w:r>
      <w:r>
        <w:rPr>
          <w:rFonts w:hint="eastAsia"/>
          <w:lang w:eastAsia="zh-CN"/>
        </w:rPr>
        <w:t>CA</w:t>
      </w:r>
      <w:r>
        <w:t>_</w:t>
      </w:r>
      <w:r>
        <w:rPr>
          <w:rFonts w:hint="eastAsia"/>
          <w:lang w:val="en-US" w:eastAsia="zh-CN"/>
        </w:rPr>
        <w:t>n</w:t>
      </w:r>
      <w:r>
        <w:rPr>
          <w:lang w:val="en-US" w:eastAsia="zh-CN"/>
        </w:rPr>
        <w:t>1</w:t>
      </w:r>
      <w:r>
        <w:rPr>
          <w:rFonts w:hint="eastAsia"/>
          <w:lang w:val="en-US" w:eastAsia="zh-CN"/>
        </w:rPr>
        <w:t>00</w:t>
      </w:r>
      <w:r>
        <w:rPr>
          <w:lang w:val="sv-SE" w:eastAsia="ja-JP"/>
        </w:rPr>
        <w:t>-</w:t>
      </w:r>
      <w:r>
        <w:rPr>
          <w:rFonts w:hint="eastAsia"/>
          <w:lang w:val="en-US" w:eastAsia="zh-CN"/>
        </w:rPr>
        <w:t>n</w:t>
      </w:r>
      <w:r>
        <w:rPr>
          <w:lang w:val="en-US" w:eastAsia="zh-CN"/>
        </w:rPr>
        <w:t>1</w:t>
      </w:r>
      <w:r>
        <w:rPr>
          <w:rFonts w:hint="eastAsia"/>
          <w:lang w:val="en-US" w:eastAsia="zh-CN"/>
        </w:rPr>
        <w:t>01, sensitivity degradation needs to be analyzed, and the harmonic and IMD products can be calculated by the table shown in Annex Table 5.1. As can be seen in the table, no harmonic and IMD products needs to be discussed. In addition, we adopt the approach of detecting potential cross-band isolation MSD for up to the ACLR5 range, which is proposed in [3]. It can be observed that there is no overlap of the band n100 ACLR range with the band n101 DL up to order 5 and there is enough rejection of the transmitter noise floor at band n101, so no cross-band MSD is needed. Similarly, there is no overlap of the band n101 ACLR range with the band n100 DL up to order 5 and there is enough rejection of the transmitter noise floor at band n100, so no cross-band MSD is required. Thus, we can conclude that no cross-band MSD is needed for inter-band CA_n100-n101.</w:t>
      </w:r>
    </w:p>
    <w:p>
      <w:pPr>
        <w:jc w:val="both"/>
        <w:rPr>
          <w:rFonts w:hint="eastAsia"/>
          <w:b/>
          <w:bCs/>
          <w:i/>
          <w:iCs/>
          <w:sz w:val="20"/>
          <w:szCs w:val="20"/>
          <w:lang w:val="en-US" w:eastAsia="zh-CN"/>
        </w:rPr>
      </w:pPr>
      <w:r>
        <w:rPr>
          <w:rFonts w:hint="eastAsia"/>
          <w:b/>
          <w:bCs/>
          <w:i/>
          <w:iCs/>
          <w:sz w:val="20"/>
          <w:szCs w:val="20"/>
          <w:lang w:val="en-US" w:eastAsia="zh-CN"/>
        </w:rPr>
        <w:t>Proposal 3: For inter-band CA_n100-n101, no MSD issue needs to be discussed.</w:t>
      </w:r>
    </w:p>
    <w:p>
      <w:pPr>
        <w:autoSpaceDE/>
        <w:autoSpaceDN/>
        <w:adjustRightInd/>
        <w:snapToGrid/>
        <w:spacing w:before="0" w:beforeLines="-2147483648" w:after="0" w:afterLines="-2147483648" w:line="240" w:lineRule="auto"/>
        <w:jc w:val="both"/>
        <w:rPr>
          <w:rFonts w:hint="eastAsia" w:ascii="Times New Roman" w:hAnsi="Times New Roman" w:eastAsia="Times New Roman" w:cs="Times New Roman"/>
          <w:b/>
          <w:bCs/>
          <w:sz w:val="20"/>
          <w:lang w:val="en-US" w:eastAsia="zh-CN"/>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eastAsia="宋体"/>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sz w:val="20"/>
          <w:szCs w:val="20"/>
          <w:lang w:val="en-US" w:eastAsia="zh-CN"/>
        </w:rPr>
      </w:pPr>
      <w:r>
        <w:rPr>
          <w:rFonts w:hint="eastAsia"/>
          <w:sz w:val="20"/>
          <w:szCs w:val="20"/>
          <w:lang w:val="en-US" w:eastAsia="zh-CN"/>
        </w:rPr>
        <w:t>In this contribution, we want to share some views on UE RF requirements for inter-band NR CA/DC with 3MHz CBW and the proposals are made as following:</w:t>
      </w:r>
    </w:p>
    <w:p>
      <w:pPr>
        <w:rPr>
          <w:rFonts w:hint="eastAsia"/>
          <w:b/>
          <w:bCs/>
          <w:i/>
          <w:iCs/>
          <w:sz w:val="20"/>
          <w:szCs w:val="20"/>
          <w:lang w:val="en-US" w:eastAsia="zh-CN"/>
        </w:rPr>
      </w:pPr>
      <w:r>
        <w:rPr>
          <w:rFonts w:hint="eastAsia"/>
          <w:b/>
          <w:bCs/>
          <w:i/>
          <w:iCs/>
          <w:sz w:val="20"/>
          <w:szCs w:val="20"/>
          <w:lang w:val="en-US" w:eastAsia="zh-CN"/>
        </w:rPr>
        <w:t>Proposal 1: Whether to support PC1 inter-band CA/DC combinations needs input from operators.</w:t>
      </w:r>
    </w:p>
    <w:p>
      <w:pPr>
        <w:jc w:val="both"/>
        <w:rPr>
          <w:rFonts w:hint="eastAsia"/>
          <w:b/>
          <w:bCs/>
          <w:i/>
          <w:iCs/>
          <w:sz w:val="20"/>
          <w:szCs w:val="20"/>
          <w:lang w:val="en-US" w:eastAsia="zh-CN"/>
        </w:rPr>
      </w:pPr>
      <w:r>
        <w:rPr>
          <w:rFonts w:hint="eastAsia"/>
          <w:b/>
          <w:bCs/>
          <w:i/>
          <w:iCs/>
          <w:sz w:val="20"/>
          <w:szCs w:val="20"/>
          <w:lang w:val="en-US" w:eastAsia="zh-CN"/>
        </w:rPr>
        <w:t>Proposal 2: Whether to introduce new UE capability and/or other RRC signalling to support NR CA/DC with less than 5MHz CBW and support of 12 or 20 RB transmission bandwidth needs to wait for RRM requirements for CA.</w:t>
      </w:r>
    </w:p>
    <w:p>
      <w:pPr>
        <w:jc w:val="both"/>
        <w:rPr>
          <w:rFonts w:hint="eastAsia"/>
          <w:b/>
          <w:bCs/>
          <w:i/>
          <w:iCs/>
          <w:sz w:val="20"/>
          <w:szCs w:val="20"/>
          <w:lang w:val="en-US" w:eastAsia="zh-CN"/>
        </w:rPr>
      </w:pPr>
      <w:r>
        <w:rPr>
          <w:rFonts w:hint="eastAsia"/>
          <w:b/>
          <w:bCs/>
          <w:i/>
          <w:iCs/>
          <w:sz w:val="20"/>
          <w:szCs w:val="20"/>
          <w:lang w:val="en-US" w:eastAsia="zh-CN"/>
        </w:rPr>
        <w:t>Proposal 3: For inter-band CA_n100-n101, no MSD issue needs to be discussed.</w:t>
      </w:r>
    </w:p>
    <w:p>
      <w:pPr>
        <w:jc w:val="both"/>
        <w:rPr>
          <w:rFonts w:hint="eastAsia"/>
          <w:b/>
          <w:bCs/>
          <w:i/>
          <w:iCs/>
          <w:sz w:val="20"/>
          <w:szCs w:val="20"/>
          <w:lang w:val="en-US" w:eastAsia="zh-CN"/>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hint="eastAsia" w:eastAsia="宋体"/>
          <w:lang w:val="en-US" w:eastAsia="zh-CN"/>
        </w:rPr>
        <w:t>Reference</w:t>
      </w:r>
    </w:p>
    <w:p>
      <w:pPr>
        <w:pStyle w:val="10"/>
        <w:jc w:val="both"/>
        <w:rPr>
          <w:sz w:val="20"/>
          <w:szCs w:val="20"/>
        </w:rPr>
      </w:pPr>
      <w:r>
        <w:rPr>
          <w:rFonts w:hint="eastAsia"/>
          <w:sz w:val="20"/>
          <w:szCs w:val="20"/>
        </w:rPr>
        <w:t>RP-2</w:t>
      </w:r>
      <w:r>
        <w:rPr>
          <w:rFonts w:hint="eastAsia"/>
          <w:sz w:val="20"/>
          <w:szCs w:val="20"/>
          <w:lang w:val="en-US" w:eastAsia="zh-CN"/>
        </w:rPr>
        <w:t>40832</w:t>
      </w:r>
      <w:r>
        <w:rPr>
          <w:rFonts w:hint="eastAsia"/>
          <w:sz w:val="20"/>
          <w:szCs w:val="20"/>
        </w:rPr>
        <w:t xml:space="preserve">, New WID: WI resulting from discussion on NR channel BW less than 5MHz for TN, </w:t>
      </w:r>
      <w:r>
        <w:rPr>
          <w:rFonts w:hint="eastAsia"/>
          <w:sz w:val="20"/>
          <w:szCs w:val="20"/>
          <w:lang w:val="en-US" w:eastAsia="zh-CN"/>
        </w:rPr>
        <w:t>vivo</w:t>
      </w:r>
    </w:p>
    <w:p>
      <w:pPr>
        <w:pStyle w:val="10"/>
        <w:jc w:val="both"/>
        <w:rPr>
          <w:sz w:val="20"/>
          <w:szCs w:val="20"/>
        </w:rPr>
      </w:pPr>
      <w:r>
        <w:rPr>
          <w:rFonts w:hint="eastAsia"/>
          <w:sz w:val="20"/>
          <w:szCs w:val="20"/>
          <w:lang w:val="en-US" w:eastAsia="zh-CN"/>
        </w:rPr>
        <w:t xml:space="preserve">R4-2406623, </w:t>
      </w:r>
      <w:r>
        <w:rPr>
          <w:rFonts w:hint="eastAsia"/>
          <w:sz w:val="20"/>
          <w:szCs w:val="20"/>
        </w:rPr>
        <w:t>WF on RF requirements for less than 5MHz band combinations</w:t>
      </w:r>
      <w:r>
        <w:rPr>
          <w:rFonts w:hint="eastAsia"/>
          <w:sz w:val="20"/>
          <w:szCs w:val="20"/>
          <w:lang w:val="en-US" w:eastAsia="zh-CN"/>
        </w:rPr>
        <w:t>, Intel</w:t>
      </w:r>
    </w:p>
    <w:p>
      <w:pPr>
        <w:pStyle w:val="10"/>
        <w:jc w:val="both"/>
        <w:rPr>
          <w:sz w:val="20"/>
          <w:szCs w:val="20"/>
        </w:rPr>
      </w:pPr>
      <w:r>
        <w:rPr>
          <w:rFonts w:hint="eastAsia"/>
          <w:sz w:val="20"/>
          <w:szCs w:val="20"/>
        </w:rPr>
        <w:t>R4-2404250</w:t>
      </w:r>
      <w:r>
        <w:rPr>
          <w:rFonts w:hint="eastAsia"/>
          <w:sz w:val="20"/>
          <w:szCs w:val="20"/>
          <w:lang w:val="en-US" w:eastAsia="zh-CN"/>
        </w:rPr>
        <w:t>, On cross-band isolation MSD analysis, Skyworks Solutions Inc., Nokia</w:t>
      </w:r>
    </w:p>
    <w:p>
      <w:pPr>
        <w:pStyle w:val="10"/>
        <w:numPr>
          <w:ilvl w:val="0"/>
          <w:numId w:val="0"/>
        </w:numPr>
        <w:ind w:leftChars="0"/>
        <w:jc w:val="both"/>
        <w:rPr>
          <w:sz w:val="20"/>
          <w:szCs w:val="20"/>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hint="eastAsia" w:eastAsia="宋体"/>
          <w:lang w:val="en-US" w:eastAsia="zh-CN"/>
        </w:rPr>
        <w:t>Annex</w:t>
      </w:r>
    </w:p>
    <w:p>
      <w:pPr>
        <w:pStyle w:val="37"/>
        <w:rPr>
          <w:lang w:val="en-US"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5.1</w:t>
      </w:r>
      <w:r>
        <w:rPr>
          <w:rFonts w:hint="default" w:ascii="Times New Roman" w:hAnsi="Times New Roman" w:cs="Times New Roman"/>
          <w:sz w:val="20"/>
          <w:szCs w:val="20"/>
        </w:rPr>
        <w:t xml:space="preserve">: </w:t>
      </w:r>
      <w:r>
        <w:rPr>
          <w:rFonts w:hint="eastAsia" w:ascii="Times New Roman" w:hAnsi="Times New Roman" w:cs="Times New Roman"/>
          <w:sz w:val="20"/>
          <w:szCs w:val="20"/>
          <w:lang w:val="en-US" w:eastAsia="zh-CN"/>
        </w:rPr>
        <w:t>H</w:t>
      </w:r>
      <w:r>
        <w:rPr>
          <w:rFonts w:hint="default" w:ascii="Times New Roman" w:hAnsi="Times New Roman" w:cs="Times New Roman"/>
          <w:sz w:val="20"/>
          <w:szCs w:val="20"/>
        </w:rPr>
        <w:t xml:space="preserve">armonic and IMD products </w:t>
      </w:r>
      <w:r>
        <w:rPr>
          <w:rFonts w:hint="default" w:ascii="Times New Roman" w:hAnsi="Times New Roman" w:cs="Times New Roman"/>
          <w:sz w:val="20"/>
          <w:szCs w:val="20"/>
          <w:lang w:eastAsia="zh-CN"/>
        </w:rPr>
        <w:t>analysis of CA_n</w:t>
      </w:r>
      <w:r>
        <w:rPr>
          <w:rFonts w:hint="eastAsia" w:ascii="Times New Roman" w:hAnsi="Times New Roman" w:cs="Times New Roman"/>
          <w:sz w:val="20"/>
          <w:szCs w:val="20"/>
          <w:lang w:val="en-US" w:eastAsia="zh-CN"/>
        </w:rPr>
        <w:t>100</w:t>
      </w:r>
      <w:r>
        <w:rPr>
          <w:rFonts w:hint="default" w:ascii="Times New Roman" w:hAnsi="Times New Roman" w:cs="Times New Roman"/>
          <w:sz w:val="20"/>
          <w:szCs w:val="20"/>
          <w:lang w:eastAsia="zh-CN"/>
        </w:rPr>
        <w:t>A-n</w:t>
      </w:r>
      <w:r>
        <w:rPr>
          <w:rFonts w:hint="eastAsia" w:ascii="Times New Roman" w:hAnsi="Times New Roman" w:cs="Times New Roman"/>
          <w:sz w:val="20"/>
          <w:szCs w:val="20"/>
          <w:lang w:val="en-US" w:eastAsia="zh-CN"/>
        </w:rPr>
        <w:t>101</w:t>
      </w:r>
      <w:r>
        <w:rPr>
          <w:rFonts w:hint="default" w:ascii="Times New Roman" w:hAnsi="Times New Roman" w:cs="Times New Roman"/>
          <w:sz w:val="20"/>
          <w:szCs w:val="20"/>
          <w:lang w:eastAsia="zh-CN"/>
        </w:rPr>
        <w:t>A with n</w:t>
      </w:r>
      <w:r>
        <w:rPr>
          <w:rFonts w:hint="eastAsia" w:ascii="Times New Roman" w:hAnsi="Times New Roman" w:cs="Times New Roman"/>
          <w:sz w:val="20"/>
          <w:szCs w:val="20"/>
          <w:lang w:val="en-US" w:eastAsia="zh-CN"/>
        </w:rPr>
        <w:t>100</w:t>
      </w:r>
      <w:r>
        <w:rPr>
          <w:rFonts w:hint="default" w:ascii="Times New Roman" w:hAnsi="Times New Roman" w:cs="Times New Roman"/>
          <w:sz w:val="20"/>
          <w:szCs w:val="20"/>
          <w:lang w:eastAsia="zh-CN"/>
        </w:rPr>
        <w:t xml:space="preserve"> and n</w:t>
      </w:r>
      <w:r>
        <w:rPr>
          <w:rFonts w:hint="eastAsia" w:ascii="Times New Roman" w:hAnsi="Times New Roman" w:cs="Times New Roman"/>
          <w:sz w:val="20"/>
          <w:szCs w:val="20"/>
          <w:lang w:val="en-US" w:eastAsia="zh-CN"/>
        </w:rPr>
        <w:t>101</w:t>
      </w:r>
      <w:r>
        <w:rPr>
          <w:rFonts w:hint="default" w:ascii="Times New Roman" w:hAnsi="Times New Roman" w:cs="Times New Roman"/>
          <w:sz w:val="20"/>
          <w:szCs w:val="20"/>
          <w:lang w:eastAsia="zh-CN"/>
        </w:rPr>
        <w:t xml:space="preserve"> UL</w:t>
      </w:r>
    </w:p>
    <w:tbl>
      <w:tblPr>
        <w:tblStyle w:val="17"/>
        <w:tblW w:w="110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39"/>
        <w:gridCol w:w="1984"/>
        <w:gridCol w:w="2098"/>
        <w:gridCol w:w="1984"/>
        <w:gridCol w:w="2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UE UL carriers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fx_high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frequency</w:t>
            </w:r>
          </w:p>
        </w:tc>
        <w:tc>
          <w:tcPr>
            <w:tcW w:w="198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874.4</w:t>
            </w:r>
          </w:p>
        </w:tc>
        <w:tc>
          <w:tcPr>
            <w:tcW w:w="209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880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1900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1910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r>
              <w:rPr>
                <w:rStyle w:val="56"/>
                <w:rFonts w:eastAsia="宋体"/>
                <w:lang w:val="en-US" w:eastAsia="zh-CN" w:bidi="ar"/>
              </w:rPr>
              <w:t>nd</w:t>
            </w:r>
            <w:r>
              <w:rPr>
                <w:rStyle w:val="57"/>
                <w:rFonts w:eastAsia="宋体"/>
                <w:lang w:val="en-US" w:eastAsia="zh-CN" w:bidi="ar"/>
              </w:rPr>
              <w:t xml:space="preserve">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|fy_high-fx_low|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1020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1035.6</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3</w:t>
            </w:r>
            <w:r>
              <w:rPr>
                <w:rStyle w:val="56"/>
                <w:rFonts w:eastAsia="宋体"/>
                <w:lang w:val="en-US" w:eastAsia="zh-CN" w:bidi="ar"/>
              </w:rPr>
              <w:t xml:space="preserve">rd </w:t>
            </w:r>
            <w:r>
              <w:rPr>
                <w:rStyle w:val="57"/>
                <w:rFonts w:eastAsia="宋体"/>
                <w:lang w:val="en-US" w:eastAsia="zh-CN" w:bidi="ar"/>
              </w:rPr>
              <w:t>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2*fx_low|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2*fx_high|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161.2</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2920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3</w:t>
            </w:r>
            <w:r>
              <w:rPr>
                <w:rStyle w:val="56"/>
                <w:rFonts w:eastAsia="宋体"/>
                <w:lang w:val="en-US" w:eastAsia="zh-CN" w:bidi="ar"/>
              </w:rPr>
              <w:t xml:space="preserve">rd </w:t>
            </w:r>
            <w:r>
              <w:rPr>
                <w:rStyle w:val="57"/>
                <w:rFonts w:eastAsia="宋体"/>
                <w:lang w:val="en-US" w:eastAsia="zh-CN" w:bidi="ar"/>
              </w:rPr>
              <w:t>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3670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4674.4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–2* 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2*fy_low|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2071.2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2040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|3*fx_low –1* 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|3*fx_high – 1*fy_low|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|3*fy_low – 1*fx_high|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|3*fy_high – 1*fx_low|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713.2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4820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4855.6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+2*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+2*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5548.8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5580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|3*fx_low +1*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|3*fx_high +1*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|3*fy_low + 1*fx_low|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|3*fy_high + 1*fx_high|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4523.2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4550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6574.4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|fx_low – 4*fy_high|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|fx_high – 4*fy_low|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4*fx_high|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6765.6</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6720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1620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1587.6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|fx_low + 4*fy_low|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|fx_high + 4*fy_high|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+ 4*fx_low|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8474.4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8520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5397.6</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3*fy_high|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3*fy_low|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3*fx_high|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3981.2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3940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1160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1196.8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+ 3*fy_low|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+ 3*fy_high|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+ 3*fx_low|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+ 3*fx_high|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7490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6423.2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6460</w:t>
            </w:r>
          </w:p>
        </w:tc>
      </w:tr>
    </w:tbl>
    <w:p>
      <w:pPr>
        <w:rPr>
          <w:lang w:val="en-US" w:eastAsia="zh-CN"/>
        </w:rPr>
      </w:pPr>
    </w:p>
    <w:p>
      <w:pPr>
        <w:pStyle w:val="10"/>
        <w:numPr>
          <w:ilvl w:val="0"/>
          <w:numId w:val="0"/>
        </w:numPr>
        <w:ind w:leftChars="0"/>
        <w:jc w:val="both"/>
        <w:rPr>
          <w:sz w:val="20"/>
          <w:szCs w:val="20"/>
        </w:rPr>
      </w:pPr>
    </w:p>
    <w:p>
      <w:pPr>
        <w:pStyle w:val="37"/>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5.2</w:t>
      </w:r>
      <w:r>
        <w:rPr>
          <w:rFonts w:hint="default" w:ascii="Times New Roman" w:hAnsi="Times New Roman" w:cs="Times New Roman"/>
          <w:sz w:val="20"/>
          <w:szCs w:val="20"/>
        </w:rPr>
        <w:t xml:space="preserve">: Cross-band isolation </w:t>
      </w:r>
      <w:r>
        <w:rPr>
          <w:rFonts w:hint="default" w:ascii="Times New Roman" w:hAnsi="Times New Roman" w:cs="Times New Roman"/>
          <w:sz w:val="20"/>
          <w:szCs w:val="20"/>
          <w:lang w:eastAsia="zh-CN"/>
        </w:rPr>
        <w:t>analysis of CA_n</w:t>
      </w:r>
      <w:r>
        <w:rPr>
          <w:rFonts w:hint="eastAsia" w:ascii="Times New Roman" w:hAnsi="Times New Roman" w:cs="Times New Roman"/>
          <w:sz w:val="20"/>
          <w:szCs w:val="20"/>
          <w:lang w:val="en-US" w:eastAsia="zh-CN"/>
        </w:rPr>
        <w:t>100</w:t>
      </w:r>
      <w:r>
        <w:rPr>
          <w:rFonts w:hint="default" w:ascii="Times New Roman" w:hAnsi="Times New Roman" w:cs="Times New Roman"/>
          <w:sz w:val="20"/>
          <w:szCs w:val="20"/>
          <w:lang w:eastAsia="zh-CN"/>
        </w:rPr>
        <w:t>A-n</w:t>
      </w:r>
      <w:r>
        <w:rPr>
          <w:rFonts w:hint="eastAsia" w:ascii="Times New Roman" w:hAnsi="Times New Roman" w:cs="Times New Roman"/>
          <w:sz w:val="20"/>
          <w:szCs w:val="20"/>
          <w:lang w:val="en-US" w:eastAsia="zh-CN"/>
        </w:rPr>
        <w:t>101</w:t>
      </w:r>
      <w:r>
        <w:rPr>
          <w:rFonts w:hint="default" w:ascii="Times New Roman" w:hAnsi="Times New Roman" w:cs="Times New Roman"/>
          <w:sz w:val="20"/>
          <w:szCs w:val="20"/>
          <w:lang w:eastAsia="zh-CN"/>
        </w:rPr>
        <w:t>A with n</w:t>
      </w:r>
      <w:r>
        <w:rPr>
          <w:rFonts w:hint="eastAsia" w:ascii="Times New Roman" w:hAnsi="Times New Roman" w:cs="Times New Roman"/>
          <w:sz w:val="20"/>
          <w:szCs w:val="20"/>
          <w:lang w:val="en-US" w:eastAsia="zh-CN"/>
        </w:rPr>
        <w:t>100</w:t>
      </w:r>
      <w:r>
        <w:rPr>
          <w:rFonts w:hint="default" w:ascii="Times New Roman" w:hAnsi="Times New Roman" w:cs="Times New Roman"/>
          <w:sz w:val="20"/>
          <w:szCs w:val="20"/>
          <w:lang w:eastAsia="zh-CN"/>
        </w:rPr>
        <w:t xml:space="preserve"> and n</w:t>
      </w:r>
      <w:r>
        <w:rPr>
          <w:rFonts w:hint="eastAsia" w:ascii="Times New Roman" w:hAnsi="Times New Roman" w:cs="Times New Roman"/>
          <w:sz w:val="20"/>
          <w:szCs w:val="20"/>
          <w:lang w:val="en-US" w:eastAsia="zh-CN"/>
        </w:rPr>
        <w:t>101</w:t>
      </w:r>
      <w:r>
        <w:rPr>
          <w:rFonts w:hint="default" w:ascii="Times New Roman" w:hAnsi="Times New Roman" w:cs="Times New Roman"/>
          <w:sz w:val="20"/>
          <w:szCs w:val="20"/>
          <w:lang w:eastAsia="zh-CN"/>
        </w:rPr>
        <w:t xml:space="preserve"> UL</w:t>
      </w:r>
    </w:p>
    <w:tbl>
      <w:tblPr>
        <w:tblStyle w:val="17"/>
        <w:tblW w:w="10795" w:type="dxa"/>
        <w:jc w:val="center"/>
        <w:tblLayout w:type="fixed"/>
        <w:tblCellMar>
          <w:top w:w="0" w:type="dxa"/>
          <w:left w:w="108" w:type="dxa"/>
          <w:bottom w:w="0" w:type="dxa"/>
          <w:right w:w="108" w:type="dxa"/>
        </w:tblCellMar>
      </w:tblPr>
      <w:tblGrid>
        <w:gridCol w:w="1647"/>
        <w:gridCol w:w="2218"/>
        <w:gridCol w:w="2340"/>
        <w:gridCol w:w="2250"/>
        <w:gridCol w:w="2340"/>
      </w:tblGrid>
      <w:tr>
        <w:tblPrEx>
          <w:tblCellMar>
            <w:top w:w="0" w:type="dxa"/>
            <w:left w:w="108" w:type="dxa"/>
            <w:bottom w:w="0" w:type="dxa"/>
            <w:right w:w="108" w:type="dxa"/>
          </w:tblCellMar>
        </w:tblPrEx>
        <w:trPr>
          <w:trHeight w:val="56" w:hRule="atLeast"/>
          <w:jc w:val="center"/>
        </w:trPr>
        <w:tc>
          <w:tcPr>
            <w:tcW w:w="164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Arial" w:hAnsi="Arial" w:cs="Arial"/>
                <w:b/>
                <w:bCs/>
                <w:color w:val="000000"/>
                <w:sz w:val="18"/>
                <w:szCs w:val="18"/>
              </w:rPr>
            </w:pPr>
            <w:r>
              <w:rPr>
                <w:rFonts w:ascii="Arial" w:hAnsi="Arial" w:cs="Arial"/>
                <w:b/>
                <w:bCs/>
                <w:color w:val="000000"/>
                <w:sz w:val="18"/>
                <w:szCs w:val="18"/>
              </w:rPr>
              <w:t>Bands</w:t>
            </w:r>
            <w:r>
              <w:rPr>
                <w:rFonts w:ascii="Arial" w:hAnsi="Arial" w:cs="Arial"/>
                <w:b/>
                <w:bCs/>
                <w:color w:val="000000"/>
                <w:sz w:val="18"/>
                <w:szCs w:val="18"/>
                <w:vertAlign w:val="superscript"/>
              </w:rPr>
              <w:t>3</w:t>
            </w:r>
          </w:p>
        </w:tc>
        <w:tc>
          <w:tcPr>
            <w:tcW w:w="4558" w:type="dxa"/>
            <w:gridSpan w:val="2"/>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Arial" w:hAnsi="Arial" w:eastAsia="宋体" w:cs="Arial"/>
                <w:b/>
                <w:bCs/>
                <w:color w:val="000000"/>
                <w:sz w:val="18"/>
                <w:szCs w:val="18"/>
                <w:lang w:val="en-US" w:eastAsia="zh-CN"/>
              </w:rPr>
            </w:pPr>
            <w:r>
              <w:rPr>
                <w:rFonts w:hint="eastAsia" w:ascii="Arial" w:hAnsi="Arial" w:eastAsia="宋体" w:cs="Arial"/>
                <w:b/>
                <w:bCs/>
                <w:color w:val="000000"/>
                <w:sz w:val="18"/>
                <w:szCs w:val="18"/>
                <w:lang w:val="en-US" w:eastAsia="zh-CN"/>
              </w:rPr>
              <w:t>n100</w:t>
            </w:r>
          </w:p>
        </w:tc>
        <w:tc>
          <w:tcPr>
            <w:tcW w:w="4590" w:type="dxa"/>
            <w:gridSpan w:val="2"/>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Arial" w:hAnsi="Arial" w:eastAsia="宋体" w:cs="Arial"/>
                <w:b/>
                <w:bCs/>
                <w:color w:val="000000"/>
                <w:sz w:val="18"/>
                <w:szCs w:val="18"/>
                <w:lang w:val="en-US" w:eastAsia="zh-CN"/>
              </w:rPr>
            </w:pPr>
            <w:r>
              <w:rPr>
                <w:rFonts w:hint="eastAsia" w:ascii="Arial" w:hAnsi="Arial" w:eastAsia="宋体" w:cs="Arial"/>
                <w:b/>
                <w:bCs/>
                <w:color w:val="000000"/>
                <w:sz w:val="18"/>
                <w:szCs w:val="18"/>
                <w:lang w:val="en-US" w:eastAsia="zh-CN"/>
              </w:rPr>
              <w:t>n101</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Frequency limit</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fx_low / min</w:t>
            </w:r>
          </w:p>
        </w:tc>
        <w:tc>
          <w:tcPr>
            <w:tcW w:w="23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fx_high / max</w:t>
            </w:r>
          </w:p>
        </w:tc>
        <w:tc>
          <w:tcPr>
            <w:tcW w:w="225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fy_low / min</w:t>
            </w:r>
          </w:p>
        </w:tc>
        <w:tc>
          <w:tcPr>
            <w:tcW w:w="2340" w:type="dxa"/>
            <w:tcBorders>
              <w:top w:val="nil"/>
              <w:left w:val="nil"/>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fy_high / max</w:t>
            </w:r>
          </w:p>
        </w:tc>
      </w:tr>
      <w:tr>
        <w:tblPrEx>
          <w:tblCellMar>
            <w:top w:w="0" w:type="dxa"/>
            <w:left w:w="108" w:type="dxa"/>
            <w:bottom w:w="0" w:type="dxa"/>
            <w:right w:w="108" w:type="dxa"/>
          </w:tblCellMar>
        </w:tblPrEx>
        <w:trPr>
          <w:trHeight w:val="60"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sz w:val="18"/>
                <w:szCs w:val="18"/>
              </w:rPr>
              <w:t>fUL (MHz)</w:t>
            </w:r>
          </w:p>
        </w:tc>
        <w:tc>
          <w:tcPr>
            <w:tcW w:w="221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20"/>
                <w:szCs w:val="20"/>
                <w:u w:val="none"/>
                <w:lang w:val="en-US" w:eastAsia="zh-CN" w:bidi="ar"/>
              </w:rPr>
              <w:t>874.4</w:t>
            </w:r>
          </w:p>
        </w:tc>
        <w:tc>
          <w:tcPr>
            <w:tcW w:w="23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20"/>
                <w:szCs w:val="20"/>
                <w:u w:val="none"/>
                <w:lang w:val="en-US" w:eastAsia="zh-CN" w:bidi="ar"/>
              </w:rPr>
              <w:t>880</w:t>
            </w:r>
          </w:p>
        </w:tc>
        <w:tc>
          <w:tcPr>
            <w:tcW w:w="22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18"/>
                <w:szCs w:val="18"/>
                <w:u w:val="none"/>
                <w:lang w:val="en-US" w:eastAsia="zh-CN" w:bidi="ar"/>
              </w:rPr>
              <w:t>1900</w:t>
            </w:r>
          </w:p>
        </w:tc>
        <w:tc>
          <w:tcPr>
            <w:tcW w:w="23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18"/>
                <w:szCs w:val="18"/>
                <w:u w:val="none"/>
                <w:lang w:val="en-US" w:eastAsia="zh-CN" w:bidi="ar"/>
              </w:rPr>
              <w:t>1910</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sz w:val="18"/>
                <w:szCs w:val="18"/>
              </w:rPr>
              <w:t>fDL (MHz)</w:t>
            </w:r>
          </w:p>
        </w:tc>
        <w:tc>
          <w:tcPr>
            <w:tcW w:w="221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eastAsia" w:ascii="Arial" w:hAnsi="Arial" w:eastAsia="宋体" w:cs="Arial"/>
                <w:b/>
                <w:bCs/>
                <w:i w:val="0"/>
                <w:iCs w:val="0"/>
                <w:color w:val="000000"/>
                <w:kern w:val="0"/>
                <w:sz w:val="20"/>
                <w:szCs w:val="20"/>
                <w:u w:val="none"/>
                <w:lang w:val="en-US" w:eastAsia="zh-CN" w:bidi="ar"/>
              </w:rPr>
              <w:t>919</w:t>
            </w:r>
            <w:r>
              <w:rPr>
                <w:rFonts w:hint="default" w:ascii="Arial" w:hAnsi="Arial" w:eastAsia="宋体" w:cs="Arial"/>
                <w:b/>
                <w:bCs/>
                <w:i w:val="0"/>
                <w:iCs w:val="0"/>
                <w:color w:val="000000"/>
                <w:kern w:val="0"/>
                <w:sz w:val="20"/>
                <w:szCs w:val="20"/>
                <w:u w:val="none"/>
                <w:lang w:val="en-US" w:eastAsia="zh-CN" w:bidi="ar"/>
              </w:rPr>
              <w:t>.4</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Arial" w:hAnsi="Arial" w:cs="Arial"/>
                <w:color w:val="000000"/>
                <w:sz w:val="18"/>
                <w:szCs w:val="18"/>
                <w:lang w:val="en-US"/>
              </w:rPr>
            </w:pPr>
            <w:r>
              <w:rPr>
                <w:rFonts w:hint="eastAsia" w:ascii="Arial" w:hAnsi="Arial" w:eastAsia="宋体" w:cs="Arial"/>
                <w:b/>
                <w:bCs/>
                <w:i w:val="0"/>
                <w:iCs w:val="0"/>
                <w:color w:val="000000"/>
                <w:kern w:val="0"/>
                <w:sz w:val="20"/>
                <w:szCs w:val="20"/>
                <w:u w:val="none"/>
                <w:lang w:val="en-US" w:eastAsia="zh-CN" w:bidi="ar"/>
              </w:rPr>
              <w:t>925</w:t>
            </w:r>
          </w:p>
        </w:tc>
        <w:tc>
          <w:tcPr>
            <w:tcW w:w="225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18"/>
                <w:szCs w:val="18"/>
                <w:u w:val="none"/>
                <w:lang w:val="en-US" w:eastAsia="zh-CN" w:bidi="ar"/>
              </w:rPr>
              <w:t>1900</w:t>
            </w:r>
          </w:p>
        </w:tc>
        <w:tc>
          <w:tcPr>
            <w:tcW w:w="234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Arial" w:hAnsi="Arial" w:cs="Arial"/>
                <w:color w:val="000000"/>
                <w:sz w:val="18"/>
                <w:szCs w:val="18"/>
              </w:rPr>
            </w:pPr>
            <w:r>
              <w:rPr>
                <w:rFonts w:hint="default" w:ascii="Arial" w:hAnsi="Arial" w:eastAsia="宋体" w:cs="Arial"/>
                <w:b/>
                <w:bCs/>
                <w:i w:val="0"/>
                <w:iCs w:val="0"/>
                <w:color w:val="000000"/>
                <w:kern w:val="0"/>
                <w:sz w:val="18"/>
                <w:szCs w:val="18"/>
                <w:u w:val="none"/>
                <w:lang w:val="en-US" w:eastAsia="zh-CN" w:bidi="ar"/>
              </w:rPr>
              <w:t>1910</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color w:val="000000"/>
                <w:sz w:val="18"/>
                <w:szCs w:val="18"/>
              </w:rPr>
              <w:t>CBW (MHz)</w:t>
            </w:r>
            <w:r>
              <w:rPr>
                <w:rFonts w:ascii="Arial" w:hAnsi="Arial" w:cs="Arial"/>
                <w:b/>
                <w:bCs/>
                <w:color w:val="000000"/>
                <w:sz w:val="18"/>
                <w:szCs w:val="18"/>
                <w:vertAlign w:val="superscript"/>
              </w:rPr>
              <w:t>2</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eastAsia"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3</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eastAsia"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3</w:t>
            </w:r>
          </w:p>
        </w:tc>
        <w:tc>
          <w:tcPr>
            <w:tcW w:w="2250" w:type="dxa"/>
            <w:tcBorders>
              <w:top w:val="nil"/>
              <w:left w:val="nil"/>
              <w:bottom w:val="single" w:color="auto" w:sz="4" w:space="0"/>
              <w:right w:val="single" w:color="auto" w:sz="4" w:space="0"/>
            </w:tcBorders>
            <w:shd w:val="clear" w:color="auto" w:fill="auto"/>
            <w:vAlign w:val="center"/>
          </w:tcPr>
          <w:p>
            <w:pPr>
              <w:jc w:val="center"/>
              <w:rPr>
                <w:rFonts w:hint="eastAsia"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5</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10</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fxULlow-maxULCBWx</w:t>
            </w:r>
          </w:p>
        </w:tc>
        <w:tc>
          <w:tcPr>
            <w:tcW w:w="23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fxULhigh+maxULCBWx</w:t>
            </w:r>
          </w:p>
        </w:tc>
        <w:tc>
          <w:tcPr>
            <w:tcW w:w="225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fyULlow-maxULCBWy</w:t>
            </w:r>
          </w:p>
        </w:tc>
        <w:tc>
          <w:tcPr>
            <w:tcW w:w="2340"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fyULhigh+maxULCBWy</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sz w:val="18"/>
                <w:szCs w:val="18"/>
              </w:rPr>
              <w:t>ACLR1 (MHz)</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871.4</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883</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1890</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1920</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fxULlow-2*maxULCBWx</w:t>
            </w:r>
          </w:p>
        </w:tc>
        <w:tc>
          <w:tcPr>
            <w:tcW w:w="23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fxULhigh+2*maxULCBWx</w:t>
            </w:r>
          </w:p>
        </w:tc>
        <w:tc>
          <w:tcPr>
            <w:tcW w:w="22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fyULlow-2*maxULCBWy</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r>
              <w:rPr>
                <w:rFonts w:ascii="Arial" w:hAnsi="Arial" w:cs="Arial"/>
                <w:color w:val="000000"/>
                <w:sz w:val="18"/>
                <w:szCs w:val="18"/>
              </w:rPr>
              <w:t>fyULhigh+2*maxULCBWy</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ACLR2 (MHz)</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865.4</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886</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1880</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fxULlow-3*maxULCBWx</w:t>
            </w:r>
          </w:p>
        </w:tc>
        <w:tc>
          <w:tcPr>
            <w:tcW w:w="23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fxULhigh+3*maxULCBWx</w:t>
            </w:r>
          </w:p>
        </w:tc>
        <w:tc>
          <w:tcPr>
            <w:tcW w:w="22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fyULlow-3*maxULCBWy</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r>
              <w:rPr>
                <w:rFonts w:ascii="Arial" w:hAnsi="Arial" w:cs="Arial"/>
                <w:color w:val="000000"/>
                <w:sz w:val="18"/>
                <w:szCs w:val="18"/>
              </w:rPr>
              <w:t>fyULhigh+3*maxULCBWy</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ACLR3 (MHz)</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862.4</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889</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1870</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fxULlow-4*maxULCBWx</w:t>
            </w:r>
          </w:p>
        </w:tc>
        <w:tc>
          <w:tcPr>
            <w:tcW w:w="23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fxULhigh+4*maxULCBWx</w:t>
            </w:r>
          </w:p>
        </w:tc>
        <w:tc>
          <w:tcPr>
            <w:tcW w:w="22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fyULlow-4*maxULCBWy</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r>
              <w:rPr>
                <w:rFonts w:ascii="Arial" w:hAnsi="Arial" w:cs="Arial"/>
                <w:color w:val="000000"/>
                <w:sz w:val="18"/>
                <w:szCs w:val="18"/>
              </w:rPr>
              <w:t>fyULhigh+4*maxULCBWy</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ACLR4 (MHz)</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859.4</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892</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1860</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color="auto" w:sz="4" w:space="0"/>
              <w:right w:val="single" w:color="auto" w:sz="4" w:space="0"/>
            </w:tcBorders>
            <w:shd w:val="clear" w:color="auto" w:fill="auto"/>
            <w:vAlign w:val="center"/>
          </w:tcPr>
          <w:p>
            <w:pPr>
              <w:jc w:val="center"/>
              <w:rPr>
                <w:rFonts w:ascii="Arial" w:hAnsi="Arial" w:cs="Arial"/>
                <w:color w:val="000000"/>
                <w:sz w:val="18"/>
                <w:szCs w:val="18"/>
              </w:rPr>
            </w:pPr>
            <w:r>
              <w:rPr>
                <w:rFonts w:ascii="Arial" w:hAnsi="Arial" w:cs="Arial"/>
                <w:color w:val="000000"/>
                <w:sz w:val="18"/>
                <w:szCs w:val="18"/>
              </w:rPr>
              <w:t>fxULlow-5*maxULCBWx</w:t>
            </w:r>
          </w:p>
        </w:tc>
        <w:tc>
          <w:tcPr>
            <w:tcW w:w="2340" w:type="dxa"/>
            <w:tcBorders>
              <w:top w:val="nil"/>
              <w:left w:val="nil"/>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fxULhigh+5*maxULCBWx</w:t>
            </w:r>
          </w:p>
        </w:tc>
        <w:tc>
          <w:tcPr>
            <w:tcW w:w="22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Arial" w:hAnsi="Arial" w:cs="Arial"/>
                <w:color w:val="000000"/>
                <w:sz w:val="18"/>
                <w:szCs w:val="18"/>
              </w:rPr>
            </w:pPr>
            <w:r>
              <w:rPr>
                <w:rFonts w:ascii="Arial" w:hAnsi="Arial" w:cs="Arial"/>
                <w:color w:val="000000"/>
                <w:sz w:val="18"/>
                <w:szCs w:val="18"/>
              </w:rPr>
              <w:t>fyULlow-5*maxULCBWy</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r>
              <w:rPr>
                <w:rFonts w:ascii="Arial" w:hAnsi="Arial" w:cs="Arial"/>
                <w:color w:val="000000"/>
                <w:sz w:val="18"/>
                <w:szCs w:val="18"/>
              </w:rPr>
              <w:t>fyULhigh+5*maxULCBWy</w:t>
            </w: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sz w:val="18"/>
                <w:szCs w:val="18"/>
              </w:rPr>
            </w:pPr>
            <w:r>
              <w:rPr>
                <w:rFonts w:ascii="Arial" w:hAnsi="Arial" w:cs="Arial"/>
                <w:b/>
                <w:bCs/>
                <w:sz w:val="18"/>
                <w:szCs w:val="18"/>
              </w:rPr>
              <w:t>ACLR5 (MHz)</w:t>
            </w:r>
          </w:p>
        </w:tc>
        <w:tc>
          <w:tcPr>
            <w:tcW w:w="2218"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856.4</w:t>
            </w:r>
          </w:p>
        </w:tc>
        <w:tc>
          <w:tcPr>
            <w:tcW w:w="2340" w:type="dxa"/>
            <w:tcBorders>
              <w:top w:val="nil"/>
              <w:left w:val="nil"/>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895</w:t>
            </w:r>
          </w:p>
        </w:tc>
        <w:tc>
          <w:tcPr>
            <w:tcW w:w="225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Arial" w:hAnsi="Arial" w:eastAsia="宋体" w:cs="Arial"/>
                <w:color w:val="000000"/>
                <w:sz w:val="18"/>
                <w:szCs w:val="18"/>
                <w:lang w:val="en-US" w:eastAsia="zh-CN"/>
              </w:rPr>
            </w:pPr>
            <w:r>
              <w:rPr>
                <w:rFonts w:hint="eastAsia" w:ascii="Arial" w:hAnsi="Arial" w:eastAsia="宋体" w:cs="Arial"/>
                <w:color w:val="000000"/>
                <w:sz w:val="18"/>
                <w:szCs w:val="18"/>
                <w:lang w:val="en-US" w:eastAsia="zh-CN"/>
              </w:rPr>
              <w:t>1850</w:t>
            </w:r>
          </w:p>
        </w:tc>
        <w:tc>
          <w:tcPr>
            <w:tcW w:w="23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Arial" w:hAnsi="Arial" w:cs="Arial"/>
                <w:color w:val="000000"/>
                <w:sz w:val="18"/>
                <w:szCs w:val="18"/>
                <w:highlight w:val="red"/>
              </w:rPr>
            </w:pPr>
          </w:p>
        </w:tc>
      </w:tr>
      <w:tr>
        <w:tblPrEx>
          <w:tblCellMar>
            <w:top w:w="0" w:type="dxa"/>
            <w:left w:w="108" w:type="dxa"/>
            <w:bottom w:w="0" w:type="dxa"/>
            <w:right w:w="108" w:type="dxa"/>
          </w:tblCellMar>
        </w:tblPrEx>
        <w:trPr>
          <w:trHeight w:val="56" w:hRule="atLeast"/>
          <w:jc w:val="center"/>
        </w:trPr>
        <w:tc>
          <w:tcPr>
            <w:tcW w:w="1647" w:type="dxa"/>
            <w:tcBorders>
              <w:top w:val="nil"/>
              <w:left w:val="single" w:color="auto" w:sz="4" w:space="0"/>
              <w:bottom w:val="single" w:color="auto" w:sz="4" w:space="0"/>
              <w:right w:val="single" w:color="auto" w:sz="4" w:space="0"/>
            </w:tcBorders>
            <w:shd w:val="clear" w:color="auto" w:fill="auto"/>
            <w:vAlign w:val="center"/>
          </w:tcPr>
          <w:p>
            <w:pPr>
              <w:jc w:val="center"/>
              <w:rPr>
                <w:rFonts w:ascii="Arial" w:hAnsi="Arial" w:cs="Arial"/>
                <w:b/>
                <w:bCs/>
                <w:color w:val="000000"/>
                <w:sz w:val="18"/>
                <w:szCs w:val="18"/>
              </w:rPr>
            </w:pPr>
            <w:r>
              <w:rPr>
                <w:rFonts w:ascii="Arial" w:hAnsi="Arial" w:cs="Arial"/>
                <w:b/>
                <w:bCs/>
                <w:sz w:val="18"/>
                <w:szCs w:val="18"/>
              </w:rPr>
              <w:t>Analysis</w:t>
            </w:r>
          </w:p>
        </w:tc>
        <w:tc>
          <w:tcPr>
            <w:tcW w:w="4558" w:type="dxa"/>
            <w:gridSpan w:val="2"/>
            <w:tcBorders>
              <w:top w:val="single" w:color="auto" w:sz="4" w:space="0"/>
              <w:left w:val="nil"/>
              <w:bottom w:val="single" w:color="auto" w:sz="4" w:space="0"/>
              <w:right w:val="single" w:color="000000"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highlight w:val="yellow"/>
              </w:rPr>
              <w:t>There is no overlap of the band n1</w:t>
            </w:r>
            <w:r>
              <w:rPr>
                <w:rFonts w:hint="eastAsia" w:ascii="Arial" w:hAnsi="Arial" w:eastAsia="宋体" w:cs="Arial"/>
                <w:color w:val="000000"/>
                <w:sz w:val="18"/>
                <w:szCs w:val="18"/>
                <w:highlight w:val="yellow"/>
                <w:lang w:val="en-US" w:eastAsia="zh-CN"/>
              </w:rPr>
              <w:t>00</w:t>
            </w:r>
            <w:r>
              <w:rPr>
                <w:rFonts w:ascii="Arial" w:hAnsi="Arial" w:cs="Arial"/>
                <w:color w:val="000000"/>
                <w:sz w:val="18"/>
                <w:szCs w:val="18"/>
                <w:highlight w:val="yellow"/>
              </w:rPr>
              <w:t xml:space="preserve"> ACLR range with the band n10</w:t>
            </w:r>
            <w:r>
              <w:rPr>
                <w:rFonts w:hint="eastAsia" w:ascii="Arial" w:hAnsi="Arial" w:eastAsia="宋体" w:cs="Arial"/>
                <w:color w:val="000000"/>
                <w:sz w:val="18"/>
                <w:szCs w:val="18"/>
                <w:highlight w:val="yellow"/>
                <w:lang w:val="en-US" w:eastAsia="zh-CN"/>
              </w:rPr>
              <w:t>1</w:t>
            </w:r>
            <w:r>
              <w:rPr>
                <w:rFonts w:ascii="Arial" w:hAnsi="Arial" w:cs="Arial"/>
                <w:color w:val="000000"/>
                <w:sz w:val="18"/>
                <w:szCs w:val="18"/>
                <w:highlight w:val="yellow"/>
              </w:rPr>
              <w:t xml:space="preserve"> DL up to order 5 and there is enough rejection of the transmitter noise floor at band n10</w:t>
            </w:r>
            <w:r>
              <w:rPr>
                <w:rFonts w:hint="eastAsia" w:ascii="Arial" w:hAnsi="Arial" w:eastAsia="宋体" w:cs="Arial"/>
                <w:color w:val="000000"/>
                <w:sz w:val="18"/>
                <w:szCs w:val="18"/>
                <w:highlight w:val="yellow"/>
                <w:lang w:val="en-US" w:eastAsia="zh-CN"/>
              </w:rPr>
              <w:t>1</w:t>
            </w:r>
            <w:r>
              <w:rPr>
                <w:rFonts w:ascii="Arial" w:hAnsi="Arial" w:cs="Arial"/>
                <w:color w:val="000000"/>
                <w:sz w:val="18"/>
                <w:szCs w:val="18"/>
                <w:highlight w:val="yellow"/>
              </w:rPr>
              <w:t>, so no cross-band MSD is needed.</w:t>
            </w:r>
          </w:p>
        </w:tc>
        <w:tc>
          <w:tcPr>
            <w:tcW w:w="4590" w:type="dxa"/>
            <w:gridSpan w:val="2"/>
            <w:tcBorders>
              <w:top w:val="single" w:color="auto" w:sz="4" w:space="0"/>
              <w:left w:val="nil"/>
              <w:bottom w:val="single" w:color="auto" w:sz="4" w:space="0"/>
              <w:right w:val="single" w:color="000000" w:sz="4" w:space="0"/>
            </w:tcBorders>
            <w:shd w:val="clear" w:color="auto" w:fill="auto"/>
            <w:vAlign w:val="center"/>
          </w:tcPr>
          <w:p>
            <w:pPr>
              <w:rPr>
                <w:rFonts w:ascii="Arial" w:hAnsi="Arial" w:cs="Arial"/>
                <w:color w:val="000000"/>
                <w:sz w:val="18"/>
                <w:szCs w:val="18"/>
              </w:rPr>
            </w:pPr>
            <w:r>
              <w:rPr>
                <w:rFonts w:ascii="Arial" w:hAnsi="Arial" w:cs="Arial"/>
                <w:color w:val="000000"/>
                <w:sz w:val="18"/>
                <w:szCs w:val="18"/>
                <w:highlight w:val="yellow"/>
              </w:rPr>
              <w:t>There is no overlap of the band n10</w:t>
            </w:r>
            <w:r>
              <w:rPr>
                <w:rFonts w:hint="eastAsia" w:ascii="Arial" w:hAnsi="Arial" w:eastAsia="宋体" w:cs="Arial"/>
                <w:color w:val="000000"/>
                <w:sz w:val="18"/>
                <w:szCs w:val="18"/>
                <w:highlight w:val="yellow"/>
                <w:lang w:val="en-US" w:eastAsia="zh-CN"/>
              </w:rPr>
              <w:t>1</w:t>
            </w:r>
            <w:r>
              <w:rPr>
                <w:rFonts w:ascii="Arial" w:hAnsi="Arial" w:cs="Arial"/>
                <w:color w:val="000000"/>
                <w:sz w:val="18"/>
                <w:szCs w:val="18"/>
                <w:highlight w:val="yellow"/>
              </w:rPr>
              <w:t xml:space="preserve"> ACLR range with the band n1</w:t>
            </w:r>
            <w:r>
              <w:rPr>
                <w:rFonts w:hint="eastAsia" w:ascii="Arial" w:hAnsi="Arial" w:eastAsia="宋体" w:cs="Arial"/>
                <w:color w:val="000000"/>
                <w:sz w:val="18"/>
                <w:szCs w:val="18"/>
                <w:highlight w:val="yellow"/>
                <w:lang w:val="en-US" w:eastAsia="zh-CN"/>
              </w:rPr>
              <w:t>00</w:t>
            </w:r>
            <w:r>
              <w:rPr>
                <w:rFonts w:ascii="Arial" w:hAnsi="Arial" w:cs="Arial"/>
                <w:color w:val="000000"/>
                <w:sz w:val="18"/>
                <w:szCs w:val="18"/>
                <w:highlight w:val="yellow"/>
              </w:rPr>
              <w:t xml:space="preserve"> DL up to order 5 and there is enough rejection of the transmitter noise floor at band n1</w:t>
            </w:r>
            <w:r>
              <w:rPr>
                <w:rFonts w:hint="eastAsia" w:ascii="Arial" w:hAnsi="Arial" w:eastAsia="宋体" w:cs="Arial"/>
                <w:color w:val="000000"/>
                <w:sz w:val="18"/>
                <w:szCs w:val="18"/>
                <w:highlight w:val="yellow"/>
                <w:lang w:val="en-US" w:eastAsia="zh-CN"/>
              </w:rPr>
              <w:t>00</w:t>
            </w:r>
            <w:r>
              <w:rPr>
                <w:rFonts w:ascii="Arial" w:hAnsi="Arial" w:cs="Arial"/>
                <w:color w:val="000000"/>
                <w:sz w:val="18"/>
                <w:szCs w:val="18"/>
                <w:highlight w:val="yellow"/>
              </w:rPr>
              <w:t>, so no cross-band MSD is needed.</w:t>
            </w:r>
          </w:p>
        </w:tc>
      </w:tr>
    </w:tbl>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A1683A"/>
    <w:rsid w:val="01AC264C"/>
    <w:rsid w:val="02672411"/>
    <w:rsid w:val="02A03B02"/>
    <w:rsid w:val="02AD7885"/>
    <w:rsid w:val="038500F8"/>
    <w:rsid w:val="03A65C8A"/>
    <w:rsid w:val="03D1158F"/>
    <w:rsid w:val="043B5B50"/>
    <w:rsid w:val="04605003"/>
    <w:rsid w:val="05762036"/>
    <w:rsid w:val="057A6005"/>
    <w:rsid w:val="05BA5DC5"/>
    <w:rsid w:val="062A122C"/>
    <w:rsid w:val="064C03D0"/>
    <w:rsid w:val="072F1EE9"/>
    <w:rsid w:val="077D4192"/>
    <w:rsid w:val="08484D29"/>
    <w:rsid w:val="08E43623"/>
    <w:rsid w:val="08FC454D"/>
    <w:rsid w:val="0A1B4004"/>
    <w:rsid w:val="0A5F6638"/>
    <w:rsid w:val="0AAD6492"/>
    <w:rsid w:val="0B491B94"/>
    <w:rsid w:val="0B7F065E"/>
    <w:rsid w:val="0C0308E5"/>
    <w:rsid w:val="0C283358"/>
    <w:rsid w:val="0C2C7E90"/>
    <w:rsid w:val="0CB46364"/>
    <w:rsid w:val="0CB81645"/>
    <w:rsid w:val="0D463036"/>
    <w:rsid w:val="0D6F717F"/>
    <w:rsid w:val="0DE32108"/>
    <w:rsid w:val="0DF455A0"/>
    <w:rsid w:val="0E0C4F5A"/>
    <w:rsid w:val="0E5A6B98"/>
    <w:rsid w:val="109158BE"/>
    <w:rsid w:val="10B04957"/>
    <w:rsid w:val="10BC116B"/>
    <w:rsid w:val="10EF26E1"/>
    <w:rsid w:val="115C6415"/>
    <w:rsid w:val="11B13797"/>
    <w:rsid w:val="1205600D"/>
    <w:rsid w:val="124F62EA"/>
    <w:rsid w:val="12D91827"/>
    <w:rsid w:val="12EF4965"/>
    <w:rsid w:val="13170AE0"/>
    <w:rsid w:val="132702E9"/>
    <w:rsid w:val="13B2284B"/>
    <w:rsid w:val="141D5E0F"/>
    <w:rsid w:val="14C43F5F"/>
    <w:rsid w:val="154D51F7"/>
    <w:rsid w:val="16196B4E"/>
    <w:rsid w:val="1695644C"/>
    <w:rsid w:val="17FF60FB"/>
    <w:rsid w:val="190A6EA1"/>
    <w:rsid w:val="19AA0F80"/>
    <w:rsid w:val="1AF30C8C"/>
    <w:rsid w:val="1B0F61D1"/>
    <w:rsid w:val="1BAD2CF8"/>
    <w:rsid w:val="1C1A047D"/>
    <w:rsid w:val="1CA53BD5"/>
    <w:rsid w:val="1CE2128B"/>
    <w:rsid w:val="1E301A9B"/>
    <w:rsid w:val="1E7149EF"/>
    <w:rsid w:val="1E814B7D"/>
    <w:rsid w:val="1F801883"/>
    <w:rsid w:val="21863EAB"/>
    <w:rsid w:val="22151078"/>
    <w:rsid w:val="224B108F"/>
    <w:rsid w:val="22620BCB"/>
    <w:rsid w:val="240444D7"/>
    <w:rsid w:val="243A0C82"/>
    <w:rsid w:val="244A71BB"/>
    <w:rsid w:val="24FB5E82"/>
    <w:rsid w:val="2680777E"/>
    <w:rsid w:val="26E718E0"/>
    <w:rsid w:val="27340F09"/>
    <w:rsid w:val="28001F59"/>
    <w:rsid w:val="28E31299"/>
    <w:rsid w:val="29E2737D"/>
    <w:rsid w:val="2A6146B0"/>
    <w:rsid w:val="2A9C1AAB"/>
    <w:rsid w:val="2B2F40A6"/>
    <w:rsid w:val="2BB97F4A"/>
    <w:rsid w:val="2C294129"/>
    <w:rsid w:val="2C4D6F3E"/>
    <w:rsid w:val="2C622708"/>
    <w:rsid w:val="2C6C6039"/>
    <w:rsid w:val="2D16125F"/>
    <w:rsid w:val="2D1E5FD1"/>
    <w:rsid w:val="2E244659"/>
    <w:rsid w:val="2E6C1C9D"/>
    <w:rsid w:val="2F3755E9"/>
    <w:rsid w:val="2FBF30A7"/>
    <w:rsid w:val="30563BF6"/>
    <w:rsid w:val="3091095F"/>
    <w:rsid w:val="30E45AB0"/>
    <w:rsid w:val="31131F3E"/>
    <w:rsid w:val="31E719E8"/>
    <w:rsid w:val="31F71E9F"/>
    <w:rsid w:val="32006367"/>
    <w:rsid w:val="32A66524"/>
    <w:rsid w:val="33420F30"/>
    <w:rsid w:val="33572FB0"/>
    <w:rsid w:val="3365752F"/>
    <w:rsid w:val="34C34DC7"/>
    <w:rsid w:val="35A95897"/>
    <w:rsid w:val="36454DCA"/>
    <w:rsid w:val="36B13775"/>
    <w:rsid w:val="38657695"/>
    <w:rsid w:val="38CA2A50"/>
    <w:rsid w:val="39064569"/>
    <w:rsid w:val="39AC56D7"/>
    <w:rsid w:val="3A6E266D"/>
    <w:rsid w:val="3AC220F7"/>
    <w:rsid w:val="3B96574B"/>
    <w:rsid w:val="3C170C74"/>
    <w:rsid w:val="3C265C15"/>
    <w:rsid w:val="3CAB2C1A"/>
    <w:rsid w:val="3D782782"/>
    <w:rsid w:val="3F764E49"/>
    <w:rsid w:val="3F9625DF"/>
    <w:rsid w:val="406242B1"/>
    <w:rsid w:val="425C70B8"/>
    <w:rsid w:val="426C4112"/>
    <w:rsid w:val="42CC39C9"/>
    <w:rsid w:val="42DC0DDB"/>
    <w:rsid w:val="42EF622F"/>
    <w:rsid w:val="432E5377"/>
    <w:rsid w:val="43B9112B"/>
    <w:rsid w:val="43DB5537"/>
    <w:rsid w:val="43E30817"/>
    <w:rsid w:val="441753DC"/>
    <w:rsid w:val="445A3B32"/>
    <w:rsid w:val="467A51FD"/>
    <w:rsid w:val="47E70377"/>
    <w:rsid w:val="486D05B9"/>
    <w:rsid w:val="488747CC"/>
    <w:rsid w:val="490A1E9D"/>
    <w:rsid w:val="49DE41BE"/>
    <w:rsid w:val="4A7E41D7"/>
    <w:rsid w:val="4BE232F4"/>
    <w:rsid w:val="4C1F0D85"/>
    <w:rsid w:val="4C252A30"/>
    <w:rsid w:val="4CA7451E"/>
    <w:rsid w:val="4D7C5DF7"/>
    <w:rsid w:val="4DDB7B3F"/>
    <w:rsid w:val="4E1F3B0C"/>
    <w:rsid w:val="4EAA2B1D"/>
    <w:rsid w:val="4EC16787"/>
    <w:rsid w:val="4EFC3D4D"/>
    <w:rsid w:val="4F2953A8"/>
    <w:rsid w:val="4F9904BD"/>
    <w:rsid w:val="4FD9320F"/>
    <w:rsid w:val="50A5479F"/>
    <w:rsid w:val="50CC731F"/>
    <w:rsid w:val="50DE6026"/>
    <w:rsid w:val="52AC292C"/>
    <w:rsid w:val="53E805E6"/>
    <w:rsid w:val="53F549A8"/>
    <w:rsid w:val="542E4C55"/>
    <w:rsid w:val="544C6829"/>
    <w:rsid w:val="56B11614"/>
    <w:rsid w:val="57E06529"/>
    <w:rsid w:val="58A17D66"/>
    <w:rsid w:val="59FC3676"/>
    <w:rsid w:val="5B8147BE"/>
    <w:rsid w:val="5BC201E5"/>
    <w:rsid w:val="5C4A34F9"/>
    <w:rsid w:val="5DB54D40"/>
    <w:rsid w:val="5DFA1BBA"/>
    <w:rsid w:val="5E110B50"/>
    <w:rsid w:val="5E3929A4"/>
    <w:rsid w:val="5F4C247A"/>
    <w:rsid w:val="60160A07"/>
    <w:rsid w:val="606851B7"/>
    <w:rsid w:val="60840213"/>
    <w:rsid w:val="608F4053"/>
    <w:rsid w:val="60A657EA"/>
    <w:rsid w:val="60D82D4B"/>
    <w:rsid w:val="6162474A"/>
    <w:rsid w:val="61832EA9"/>
    <w:rsid w:val="630C6A8F"/>
    <w:rsid w:val="636E0E5F"/>
    <w:rsid w:val="6437792C"/>
    <w:rsid w:val="64720EAD"/>
    <w:rsid w:val="64CA4AE0"/>
    <w:rsid w:val="653C53C6"/>
    <w:rsid w:val="659702D3"/>
    <w:rsid w:val="65B672D2"/>
    <w:rsid w:val="662047A4"/>
    <w:rsid w:val="66387DB8"/>
    <w:rsid w:val="665F445B"/>
    <w:rsid w:val="6685187D"/>
    <w:rsid w:val="66F26570"/>
    <w:rsid w:val="67822461"/>
    <w:rsid w:val="682A330B"/>
    <w:rsid w:val="6A32215A"/>
    <w:rsid w:val="6A5E238E"/>
    <w:rsid w:val="6C2B1F50"/>
    <w:rsid w:val="6CB036DF"/>
    <w:rsid w:val="6CD67DFE"/>
    <w:rsid w:val="6D031B69"/>
    <w:rsid w:val="6D111782"/>
    <w:rsid w:val="6D2A3814"/>
    <w:rsid w:val="6DBF3339"/>
    <w:rsid w:val="6E9D285D"/>
    <w:rsid w:val="6FC54BEF"/>
    <w:rsid w:val="70276E0E"/>
    <w:rsid w:val="70291255"/>
    <w:rsid w:val="70A77ADD"/>
    <w:rsid w:val="712B6303"/>
    <w:rsid w:val="719A3A8C"/>
    <w:rsid w:val="71CF3E9A"/>
    <w:rsid w:val="722630D5"/>
    <w:rsid w:val="727950DD"/>
    <w:rsid w:val="72F91AC0"/>
    <w:rsid w:val="738D3920"/>
    <w:rsid w:val="73962032"/>
    <w:rsid w:val="73D63277"/>
    <w:rsid w:val="73DA07E7"/>
    <w:rsid w:val="74DD2349"/>
    <w:rsid w:val="764928A0"/>
    <w:rsid w:val="771C02AB"/>
    <w:rsid w:val="782157D3"/>
    <w:rsid w:val="79606858"/>
    <w:rsid w:val="7A6B2B61"/>
    <w:rsid w:val="7A8D30E0"/>
    <w:rsid w:val="7A9479AC"/>
    <w:rsid w:val="7B9C10D8"/>
    <w:rsid w:val="7C2442A7"/>
    <w:rsid w:val="7C3F5539"/>
    <w:rsid w:val="7C415BC0"/>
    <w:rsid w:val="7D2A604D"/>
    <w:rsid w:val="7D541AAE"/>
    <w:rsid w:val="7DB85F4F"/>
    <w:rsid w:val="7E724176"/>
    <w:rsid w:val="7EB55EF0"/>
    <w:rsid w:val="7F5926D5"/>
    <w:rsid w:val="7FA63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21"/>
    <w:unhideWhenUsed/>
    <w:qFormat/>
    <w:uiPriority w:val="9"/>
    <w:pPr>
      <w:keepNext/>
      <w:keepLines/>
      <w:spacing w:after="120" w:line="260" w:lineRule="auto"/>
      <w:outlineLvl w:val="2"/>
    </w:pPr>
    <w:rPr>
      <w:rFonts w:eastAsia="MS Mincho"/>
      <w:sz w:val="21"/>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3 Char"/>
    <w:link w:val="4"/>
    <w:qFormat/>
    <w:uiPriority w:val="9"/>
    <w:rPr>
      <w:rFonts w:ascii="Helvetica" w:hAnsi="Helvetica" w:eastAsia="MS Mincho"/>
      <w:b/>
      <w:bCs/>
      <w:sz w:val="21"/>
      <w:szCs w:val="32"/>
      <w:lang w:eastAsia="en-US"/>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6"/>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R Cover Page"/>
    <w:qFormat/>
    <w:uiPriority w:val="0"/>
    <w:pPr>
      <w:spacing w:after="120"/>
    </w:pPr>
    <w:rPr>
      <w:rFonts w:ascii="Arial" w:hAnsi="Arial" w:eastAsia="Times New Roman" w:cs="Times New Roman"/>
      <w:lang w:val="en-GB" w:eastAsia="en-US" w:bidi="ar-SA"/>
    </w:rPr>
  </w:style>
  <w:style w:type="character" w:customStyle="1" w:styleId="56">
    <w:name w:val="font41"/>
    <w:basedOn w:val="19"/>
    <w:qFormat/>
    <w:uiPriority w:val="0"/>
    <w:rPr>
      <w:rFonts w:hint="default" w:ascii="Arial" w:hAnsi="Arial" w:cs="Arial"/>
      <w:color w:val="000000"/>
      <w:sz w:val="18"/>
      <w:szCs w:val="18"/>
      <w:u w:val="none"/>
      <w:vertAlign w:val="superscript"/>
    </w:rPr>
  </w:style>
  <w:style w:type="character" w:customStyle="1" w:styleId="57">
    <w:name w:val="font01"/>
    <w:basedOn w:val="19"/>
    <w:qFormat/>
    <w:uiPriority w:val="0"/>
    <w:rPr>
      <w:rFonts w:hint="default" w:ascii="Arial" w:hAnsi="Arial" w:cs="Arial"/>
      <w:color w:val="000000"/>
      <w:sz w:val="18"/>
      <w:szCs w:val="18"/>
      <w:u w:val="none"/>
    </w:rPr>
  </w:style>
  <w:style w:type="character" w:customStyle="1" w:styleId="58">
    <w:name w:val="首标题"/>
    <w:qFormat/>
    <w:uiPriority w:val="0"/>
    <w:rPr>
      <w:rFonts w:ascii="Arial" w:hAnsi="Arial" w:eastAsia="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0</TotalTime>
  <ScaleCrop>false</ScaleCrop>
  <LinksUpToDate>false</LinksUpToDate>
  <CharactersWithSpaces>5838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2024-05-13T11:45:04Z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855D8E9BC60A4386B0970460F0217F0E</vt:lpwstr>
  </property>
</Properties>
</file>